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76.png" ContentType="image/png"/>
  <Override PartName="/word/media/rId90.png" ContentType="image/png"/>
  <Override PartName="/word/media/rId95.png" ContentType="image/png"/>
  <Override PartName="/word/media/rId67.png" ContentType="image/png"/>
  <Override PartName="/word/media/rId63.png" ContentType="image/png"/>
  <Override PartName="/word/media/rId105.png" ContentType="image/png"/>
  <Override PartName="/word/media/rId85.png" ContentType="image/png"/>
  <Override PartName="/word/media/rId100.png" ContentType="image/png"/>
  <Override PartName="/word/media/rId25.png" ContentType="image/png"/>
  <Override PartName="/word/media/rId72.png" ContentType="image/png"/>
  <Override PartName="/word/media/rId110.png" ContentType="image/png"/>
  <Override PartName="/word/media/rId114.png" ContentType="image/png"/>
  <Override PartName="/word/media/rId118.png" ContentType="image/png"/>
  <Override PartName="/word/media/rId136.png" ContentType="image/png"/>
  <Override PartName="/word/media/rId141.png" ContentType="image/png"/>
  <Override PartName="/word/media/rId127.png" ContentType="image/png"/>
  <Override PartName="/word/media/rId146.png" ContentType="image/png"/>
  <Override PartName="/word/media/rId122.png" ContentType="image/png"/>
  <Override PartName="/word/media/rId131.png" ContentType="image/png"/>
  <Override PartName="/word/media/rId29.png" ContentType="image/png"/>
  <Override PartName="/word/media/rId151.png" ContentType="image/png"/>
  <Override PartName="/word/media/rId37.png" ContentType="image/png"/>
  <Override PartName="/word/media/rId41.png" ContentType="image/png"/>
  <Override PartName="/word/media/rId81.png" ContentType="image/png"/>
  <Override PartName="/word/media/rId46.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4 were omitted from the summary analysis their analysis failed the peer evaluation.</w:t>
      </w:r>
    </w:p>
    <w:p>
      <w:pPr>
        <w:pStyle w:val="BodyText"/>
      </w:pPr>
      <w:r>
        <w:t xml:space="preserve">As a result, we ended up with 505 re-analyses, submitted by 458 co-analysts.</w:t>
      </w:r>
    </w:p>
    <w:p>
      <w:pPr>
        <w:pStyle w:val="BodyText"/>
      </w:pPr>
      <w:r>
        <w:t xml:space="preserve">Although we invited more than 5 co-analysts to each of the 100 studies, due to drop-outs the final number of completed analyses ranged between 4 and 7. Table 1 shows the the distribution of analyses per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23 professors, 41 associate professors, 106 assistant professors, 107 post-doctoral researchers, 122 doctoral students, 59 from other academic/research positions, and from other positions.</w:t>
      </w:r>
    </w:p>
    <w:p>
      <w:pPr>
        <w:pStyle w:val="BodyText"/>
      </w:pPr>
      <w:r>
        <w:t xml:space="preserve">The gender distribution of the co-analysts is as follows: 117 female, 333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376 young adults (-39 years); 81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only kept their age at the time of their first submission. Moreover, one analyst was excluded because they did not disclose their age.</w:t>
            </w:r>
          </w:p>
          <w:bookmarkEnd w:id="24"/>
        </w:tc>
      </w:tr>
    </w:tbl>
    <w:p>
      <w:pPr>
        <w:pStyle w:val="BodyText"/>
      </w:pPr>
      <w:r>
        <w:t xml:space="preserve">Regarding the highest level of education, 1 reported High-school diploma or equivalent, 18 co-analysts had Bachelor’s degree or equivalent, 135 Master’s degree or equivalent, 304 had Doctoral degree or equivalent. In case the analysts completed more than one re-analysis and they advanced in their studies by the time of their second analysis, we only kept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27 were from Asia, 15 from Oceania, 296 from Europe, 113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summarizes the distribution of their disciplinary orientation. Co-analysts from Psychology and Economics disciplines participated in the highest ratio in this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8.12 % (41 out of 505)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(62.49%), STATA (16.8%), and SPSS (6.99%) were the most popular responses.</w:t>
      </w:r>
      <w:r>
        <w:t xml:space="preserve"> </w:t>
      </w:r>
      <w:hyperlink w:anchor="fig-software">
        <w:r>
          <w:rPr>
            <w:rStyle w:val="Hyperlink"/>
          </w:rPr>
          <w:t xml:space="preserve">Figure 6</w:t>
        </w:r>
      </w:hyperlink>
      <w:r>
        <w:t xml:space="preserve"> </w:t>
      </w:r>
      <w:r>
        <w:t xml:space="preserve">shows the distribution of all the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in order to make them linkable to a single result in the original study (see Methods for more details).</w:t>
      </w:r>
    </w:p>
    <w:p>
      <w:pPr>
        <w:pStyle w:val="BodyText"/>
      </w:pPr>
      <w:r>
        <w:t xml:space="preserve">In Task 2, when we asked the co-analysts to present one main statistical result, in 97.62% of the analyses (493 out of 505), conclusion was based on p-value and Bayes Factor was used in 2.38% of the cases (12 out of 505).</w:t>
      </w:r>
    </w:p>
    <w:p>
      <w:pPr>
        <w:pStyle w:val="BodyText"/>
      </w:pPr>
      <w:r>
        <w:t xml:space="preserve">For 47.72 % (241 out of 505) of the analyses, the co-analysts reported that they had to make additional calculations in the second task. In the remaining 52.28% (264 out of 505) of the cases, the co-analysts indicated that despite the requirements of the instructions, they could conduct the same analyses as in Task 1.</w:t>
      </w:r>
    </w:p>
    <w:p>
      <w:pPr>
        <w:pStyle w:val="BodyText"/>
      </w:pPr>
      <w:r>
        <w:t xml:space="preserve">In Task 2, 12.67% of the results (64 our of 505)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6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total hours the analyst spent on Task 1 and Task 2 together. In case an analyst completed multiple re-analyses, we kept all their responses for this figure. One response was excluded due to being an outlier (999 hours).</w:t>
            </w:r>
          </w:p>
          <w:bookmarkEnd w:id="49"/>
        </w:tc>
      </w:tr>
    </w:tbl>
    <w:bookmarkEnd w:id="50"/>
    <w:bookmarkStart w:id="62" w:name="peer-evaluation"/>
    <w:p>
      <w:pPr>
        <w:pStyle w:val="Heading2"/>
      </w:pPr>
      <w:r>
        <w:t xml:space="preserve">Peer evaluation</w:t>
      </w:r>
    </w:p>
    <w:bookmarkStart w:id="60" w:name="peer-evaluators"/>
    <w:p>
      <w:pPr>
        <w:pStyle w:val="Heading3"/>
      </w:pPr>
      <w:r>
        <w:t xml:space="preserve">Peer evaluators</w:t>
      </w:r>
    </w:p>
    <w:p>
      <w:pPr>
        <w:pStyle w:val="FirstParagraph"/>
      </w:pPr>
      <w:r>
        <w:t xml:space="preserve">Basic demographic info.</w:t>
      </w:r>
    </w:p>
    <w:p>
      <w:pPr>
        <w:pStyle w:val="BodyText"/>
      </w:pPr>
      <w:r>
        <w:t xml:space="preserve">Experience with conducting statistical analysis:</w:t>
      </w:r>
    </w:p>
    <w:p>
      <w:pPr>
        <w:pStyle w:val="BodyText"/>
      </w:pPr>
      <w:r>
        <w:drawing>
          <wp:inline>
            <wp:extent cx="4620126" cy="3696101"/>
            <wp:effectExtent b="0" l="0" r="0" t="0"/>
            <wp:docPr descr="" title="" id="52" name="Picture"/>
            <a:graphic>
              <a:graphicData uri="http://schemas.openxmlformats.org/drawingml/2006/picture">
                <pic:pic>
                  <pic:nvPicPr>
                    <pic:cNvPr descr="multi100_results_files/figure-docx/unnamed-chunk-3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Frequency of data analysis:</w:t>
      </w:r>
    </w:p>
    <w:p>
      <w:pPr>
        <w:pStyle w:val="BodyText"/>
      </w:pPr>
      <w:r>
        <w:drawing>
          <wp:inline>
            <wp:extent cx="4620126" cy="3696101"/>
            <wp:effectExtent b="0" l="0" r="0" t="0"/>
            <wp:docPr descr="" title="" id="55" name="Picture"/>
            <a:graphic>
              <a:graphicData uri="http://schemas.openxmlformats.org/drawingml/2006/picture">
                <pic:pic>
                  <pic:nvPicPr>
                    <pic:cNvPr descr="multi100_results_files/figure-docx/unnamed-chunk-3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Self-reported expertise in data-analysis:</w:t>
      </w:r>
    </w:p>
    <w:p>
      <w:pPr>
        <w:pStyle w:val="BodyText"/>
      </w:pPr>
      <w:r>
        <w:drawing>
          <wp:inline>
            <wp:extent cx="4620126" cy="3696101"/>
            <wp:effectExtent b="0" l="0" r="0" t="0"/>
            <wp:docPr descr="" title="" id="58" name="Picture"/>
            <a:graphic>
              <a:graphicData uri="http://schemas.openxmlformats.org/drawingml/2006/picture">
                <pic:pic>
                  <pic:nvPicPr>
                    <pic:cNvPr descr="multi100_results_files/figure-docx/unnamed-chunk-3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peer-evaluations"/>
    <w:p>
      <w:pPr>
        <w:pStyle w:val="Heading3"/>
      </w:pPr>
      <w:r>
        <w:t xml:space="preserve">Peer evaluations</w:t>
      </w:r>
    </w:p>
    <w:p>
      <w:pPr>
        <w:pStyle w:val="FirstParagraph"/>
      </w:pPr>
      <w:r>
        <w:t xml:space="preserve">Nr. of peer evaluations:</w:t>
      </w:r>
    </w:p>
    <w:p>
      <w:pPr>
        <w:pStyle w:val="BodyText"/>
      </w:pPr>
      <w:r>
        <w:t xml:space="preserve">Descriptives of peer evaluations.</w:t>
      </w:r>
    </w:p>
    <w:p>
      <w:pPr>
        <w:pStyle w:val="BodyText"/>
      </w:pPr>
      <w:r>
        <w:t xml:space="preserve">For those analyses where there were more than one peer evaluations, for 49.51% (101 out of 204) of the analysis the evaluators disagreed on the analytical pipeline for task 1, and 53.43% (109 out of 204) for task 2.</w:t>
      </w:r>
    </w:p>
    <w:p>
      <w:pPr>
        <w:pStyle w:val="BodyText"/>
      </w:pPr>
      <w:r>
        <w:t xml:space="preserve">99.8% (488 out of 489) of acceptable analysis pipelines (Task 1) - the outcome of the procedure</w:t>
      </w:r>
    </w:p>
    <w:p>
      <w:pPr>
        <w:pStyle w:val="BodyText"/>
      </w:pPr>
      <w:r>
        <w:t xml:space="preserve">7 of peer elevators’ responses we need to adjust for this variable (comment from Marci: we only adjusted the unacceptable responses to acceptable but with low quality I think we can be explicit about that)</w:t>
      </w:r>
    </w:p>
    <w:p>
      <w:pPr>
        <w:pStyle w:val="BodyText"/>
      </w:pPr>
      <w:r>
        <w:t xml:space="preserve">99.8% (488 out of 489) analysis pipelines (Task 2) were acceptable, and % ( out of ) analysis pipelines (Task 2) were incomplete</w:t>
      </w:r>
    </w:p>
    <w:p>
      <w:pPr>
        <w:pStyle w:val="BodyText"/>
      </w:pPr>
      <w:r>
        <w:t xml:space="preserve">38 responses of peer evaluations we need to adjust for this variable (comment form marci: again we only modified the unacceptable to acceptable)</w:t>
      </w:r>
    </w:p>
    <w:p>
      <w:pPr>
        <w:pStyle w:val="BodyText"/>
      </w:pPr>
      <w:r>
        <w:t xml:space="preserve">For those analyses where there were more than one peer evaluator, 0.49% (1 out of 204) of evaluators disagreed on the adequacy of the conclusions.</w:t>
      </w:r>
    </w:p>
    <w:p>
      <w:pPr>
        <w:pStyle w:val="BodyText"/>
      </w:pPr>
      <w:r>
        <w:t xml:space="preserve">99.39% (486 out of 489) the co-analyst’s self-categorization of the results was adequate.</w:t>
      </w:r>
    </w:p>
    <w:p>
      <w:pPr>
        <w:pStyle w:val="BodyText"/>
      </w:pPr>
      <w:r>
        <w:t xml:space="preserve">35 peer evaluations we need to adjust</w:t>
      </w:r>
    </w:p>
    <w:p>
      <w:pPr>
        <w:pStyle w:val="BodyText"/>
      </w:pPr>
      <w:r>
        <w:t xml:space="preserve">99.59% (487 out of 489) conclusions adequately followed from the results of the analysis for Task 1.</w:t>
      </w:r>
    </w:p>
    <w:p>
      <w:pPr>
        <w:pStyle w:val="BodyText"/>
      </w:pPr>
      <w:r>
        <w:t xml:space="preserve">% (x out of y) of cases where the correction of the self-categorization of the conclusion was necessary (comment from marci: this is 0 right now as we discussed, harry will go through them)</w:t>
      </w:r>
    </w:p>
    <w:p>
      <w:pPr>
        <w:pStyle w:val="BodyText"/>
      </w:pPr>
      <w:r>
        <w:t xml:space="preserve">Nr. of analytical reproducibility checks:</w:t>
      </w:r>
    </w:p>
    <w:p>
      <w:pPr>
        <w:pStyle w:val="BodyText"/>
      </w:pPr>
      <w:r>
        <w:t xml:space="preserve">74.3% (185 out of 249 of the analytical reproducibility checks were successful</w:t>
      </w:r>
    </w:p>
    <w:bookmarkEnd w:id="61"/>
    <w:bookmarkEnd w:id="62"/>
    <w:bookmarkStart w:id="158" w:name="Xbb0942f96141bee9a900616751959995a7c9cf6"/>
    <w:p>
      <w:pPr>
        <w:pStyle w:val="Heading2"/>
      </w:pPr>
      <w:r>
        <w:t xml:space="preserve">How robust are the conclusions to analytical choices published in social sciences?</w:t>
      </w:r>
    </w:p>
    <w:p>
      <w:pPr>
        <w:pStyle w:val="FirstParagraph"/>
      </w:pPr>
      <w:r>
        <w:t xml:space="preserve">Do different analysts arrive at the same conclusions as the analysts of the original study?</w:t>
      </w:r>
    </w:p>
    <w:bookmarkStart w:id="71" w:name="task-1-survey-results"/>
    <w:p>
      <w:pPr>
        <w:pStyle w:val="Heading3"/>
      </w:pPr>
      <w:r>
        <w:t xml:space="preserve">Task 1 Survey results</w:t>
      </w:r>
    </w:p>
    <w:p>
      <w:pPr>
        <w:pStyle w:val="FirstParagraph"/>
      </w:pPr>
      <w:r>
        <w:t xml:space="preserve">In Task 1, the co-analysts were asked to conduct any statistical analysis to arrive to a single conclusion. Out of 100 re-analysed studies, the conclusions of 34 (34%) remained robust to independent re-analysis, so that all assigned co-analysts arrived at the same conclusion as reported in the article of the original study.</w:t>
      </w:r>
    </w:p>
    <w:tbl>
      <w:tblPr>
        <w:tblStyle w:val="Table"/>
        <w:tblW w:type="pct" w:w="5000"/>
        <w:tblLook w:firstRow="0" w:lastRow="0" w:firstColumn="0" w:lastColumn="0" w:noHBand="0" w:noVBand="0" w:val="0000"/>
        <w:jc w:val="start"/>
      </w:tblPr>
      <w:tblGrid>
        <w:gridCol w:w="7920"/>
      </w:tblGrid>
      <w:tr>
        <w:tc>
          <w:tcPr/>
          <w:bookmarkStart w:id="66" w:name="fig-conclusions-main-robustness"/>
          <w:p>
            <w:pPr>
              <w:jc w:val="center"/>
            </w:pPr>
            <w:r>
              <w:drawing>
                <wp:inline>
                  <wp:extent cx="4620126" cy="3696101"/>
                  <wp:effectExtent b="0" l="0" r="0" t="0"/>
                  <wp:docPr descr="" title="" id="64" name="Picture"/>
                  <a:graphic>
                    <a:graphicData uri="http://schemas.openxmlformats.org/drawingml/2006/picture">
                      <pic:pic>
                        <pic:nvPicPr>
                          <pic:cNvPr descr="multi100_results_files/figure-docx/fig-conclusions-main-robustnes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w:t>
            </w:r>
          </w:p>
          <w:bookmarkEnd w:id="66"/>
        </w:tc>
      </w:tr>
    </w:tbl>
    <w:p>
      <w:pPr>
        <w:pStyle w:val="BodyText"/>
      </w:pPr>
      <w:hyperlink w:anchor="fig-conclusions-main">
        <w:r>
          <w:rPr>
            <w:rStyle w:val="Hyperlink"/>
          </w:rPr>
          <w:t xml:space="preserve">Figure 9</w:t>
        </w:r>
      </w:hyperlink>
      <w:r>
        <w:t xml:space="preserve"> </w:t>
      </w:r>
      <w:r>
        <w:t xml:space="preserve">shows the histotrophic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70" w:name="fig-conclusions-main"/>
          <w:p>
            <w:pPr>
              <w:jc w:val="center"/>
            </w:pPr>
            <w:r>
              <w:drawing>
                <wp:inline>
                  <wp:extent cx="4620126" cy="3696101"/>
                  <wp:effectExtent b="0" l="0" r="0" t="0"/>
                  <wp:docPr descr="" title="" id="68" name="Picture"/>
                  <a:graphic>
                    <a:graphicData uri="http://schemas.openxmlformats.org/drawingml/2006/picture">
                      <pic:pic>
                        <pic:nvPicPr>
                          <pic:cNvPr descr="multi100_results_files/figure-docx/fig-conclusions-main-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the histrophic display of the type of conclusions resulting from the re-analysis of each study.</w:t>
            </w:r>
          </w:p>
          <w:bookmarkEnd w:id="70"/>
        </w:tc>
      </w:tr>
    </w:tbl>
    <w:p>
      <w:pPr>
        <w:pStyle w:val="BodyText"/>
      </w:pPr>
      <w:r>
        <w:t xml:space="preserve">Across all the re-analyses, 73.47 % (371 out of 505) of them arrived at the same conclusion; 24.36% (123 out of 505) to no effects, and 2.18% (11 out of 505) to opposite effect compared to the original conclusion.</w:t>
      </w:r>
    </w:p>
    <w:bookmarkEnd w:id="71"/>
    <w:bookmarkStart w:id="157" w:name="robustness"/>
    <w:p>
      <w:pPr>
        <w:pStyle w:val="Heading3"/>
      </w:pPr>
      <w:r>
        <w:t xml:space="preserve">Robustness</w:t>
      </w:r>
    </w:p>
    <w:bookmarkStart w:id="80" w:name="robustness-by-field"/>
    <w:p>
      <w:pPr>
        <w:pStyle w:val="Heading4"/>
      </w:pPr>
      <w:r>
        <w:t xml:space="preserve">Robustness by field</w:t>
      </w:r>
    </w:p>
    <w:p>
      <w:pPr>
        <w:pStyle w:val="FirstParagraph"/>
      </w:pPr>
      <w:r>
        <w:t xml:space="preserve">We were interested to see whether these results show a different pattern when inspecting them in different fields.</w:t>
      </w:r>
      <w:r>
        <w:t xml:space="preserve"> </w:t>
      </w:r>
      <w:hyperlink w:anchor="fig-discipline-robustness">
        <w:r>
          <w:rPr>
            <w:rStyle w:val="Hyperlink"/>
          </w:rPr>
          <w:t xml:space="preserve">Figure 10</w:t>
        </w:r>
      </w:hyperlink>
      <w:r>
        <w:t xml:space="preserve"> </w:t>
      </w:r>
      <w:r>
        <w:t xml:space="preserve">shows that for the major fields with more than 10 papers (Economics, Political Science, and Psychology) the pattern was comparably similar. We found no outstanding differences between the fields for the percentage of different and identical conclusions neither (see</w:t>
      </w:r>
      <w:r>
        <w:t xml:space="preserve"> </w:t>
      </w:r>
      <w:hyperlink w:anchor="fig-conclusions-discipline">
        <w:r>
          <w:rPr>
            <w:rStyle w:val="Hyperlink"/>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75" w:name="fig-discipline-robustness"/>
          <w:p>
            <w:pPr>
              <w:jc w:val="center"/>
            </w:pPr>
            <w:r>
              <w:drawing>
                <wp:inline>
                  <wp:extent cx="4620126" cy="3696101"/>
                  <wp:effectExtent b="0" l="0" r="0" t="0"/>
                  <wp:docPr descr="" title="" id="73" name="Picture"/>
                  <a:graphic>
                    <a:graphicData uri="http://schemas.openxmlformats.org/drawingml/2006/picture">
                      <pic:pic>
                        <pic:nvPicPr>
                          <pic:cNvPr descr="multi100_results_files/figure-docx/fig-discipline-robustness-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the inferential robustness of the studies by major fields.</w:t>
            </w:r>
          </w:p>
          <w:bookmarkEnd w:id="7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9" w:name="fig-conclusions-discipline"/>
          <w:p>
            <w:pPr>
              <w:jc w:val="center"/>
            </w:pPr>
            <w:r>
              <w:drawing>
                <wp:inline>
                  <wp:extent cx="4620126" cy="3696101"/>
                  <wp:effectExtent b="0" l="0" r="0" t="0"/>
                  <wp:docPr descr="" title="" id="77" name="Picture"/>
                  <a:graphic>
                    <a:graphicData uri="http://schemas.openxmlformats.org/drawingml/2006/picture">
                      <pic:pic>
                        <pic:nvPicPr>
                          <pic:cNvPr descr="multi100_results_files/figure-docx/fig-conclusions-discipline-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percentage of identical, inconclusive, and different conclusion of the studies by major fields. The figure displays the count of re-analyses next to each field name.</w:t>
            </w:r>
          </w:p>
          <w:bookmarkEnd w:id="79"/>
        </w:tc>
      </w:tr>
    </w:tbl>
    <w:bookmarkEnd w:id="80"/>
    <w:bookmarkStart w:id="89" w:name="X987c19ce3f91218f163698a835a768a296f59f2"/>
    <w:p>
      <w:pPr>
        <w:pStyle w:val="Heading4"/>
      </w:pPr>
      <w:r>
        <w:t xml:space="preserve">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12</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13</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84" w:name="fig-studytype-robustness"/>
          <w:p>
            <w:pPr>
              <w:jc w:val="center"/>
            </w:pPr>
            <w:r>
              <w:drawing>
                <wp:inline>
                  <wp:extent cx="4620126" cy="3696101"/>
                  <wp:effectExtent b="0" l="0" r="0" t="0"/>
                  <wp:docPr descr="" title="" id="82" name="Picture"/>
                  <a:graphic>
                    <a:graphicData uri="http://schemas.openxmlformats.org/drawingml/2006/picture">
                      <pic:pic>
                        <pic:nvPicPr>
                          <pic:cNvPr descr="multi100_results_files/figure-docx/fig-studytype-robustness-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the inferential robustness of the studies by study type (experimental or observational). The figure displays the count of re-analyses next to each field name.</w:t>
            </w:r>
          </w:p>
          <w:bookmarkEnd w:id="8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8" w:name="fig-conclusions-studytype"/>
          <w:p>
            <w:pPr>
              <w:jc w:val="center"/>
            </w:pPr>
            <w:r>
              <w:drawing>
                <wp:inline>
                  <wp:extent cx="4620126" cy="3696101"/>
                  <wp:effectExtent b="0" l="0" r="0" t="0"/>
                  <wp:docPr descr="" title="" id="86" name="Picture"/>
                  <a:graphic>
                    <a:graphicData uri="http://schemas.openxmlformats.org/drawingml/2006/picture">
                      <pic:pic>
                        <pic:nvPicPr>
                          <pic:cNvPr descr="multi100_results_files/figure-docx/fig-conclusions-studytype-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percentage of identical, inconclusive, and different conclusion of the studies by study type (experimental or observational).</w:t>
            </w:r>
          </w:p>
          <w:bookmarkEnd w:id="88"/>
        </w:tc>
      </w:tr>
    </w:tbl>
    <w:bookmarkEnd w:id="89"/>
    <w:bookmarkStart w:id="94" w:name="Xbbd42e98a05cb75b8ebc09da10fa26d8e0576b4"/>
    <w:p>
      <w:pPr>
        <w:pStyle w:val="Heading4"/>
      </w:pPr>
      <w:r>
        <w:t xml:space="preserve">Robustness by expertise (self-reported expertise in data analysis)</w:t>
      </w:r>
    </w:p>
    <w:p>
      <w:pPr>
        <w:pStyle w:val="FirstParagraph"/>
      </w:pPr>
      <w:r>
        <w:t xml:space="preserve">Here, we were interested to see whether these results show a different pattern when inspecting them along the reported expertise of the co-analysts. The following figure shows these results.</w:t>
      </w:r>
    </w:p>
    <w:tbl>
      <w:tblPr>
        <w:tblStyle w:val="Table"/>
        <w:tblW w:type="pct" w:w="5000"/>
        <w:tblLook w:firstRow="0" w:lastRow="0" w:firstColumn="0" w:lastColumn="0" w:noHBand="0" w:noVBand="0" w:val="0000"/>
        <w:jc w:val="start"/>
      </w:tblPr>
      <w:tblGrid>
        <w:gridCol w:w="7920"/>
      </w:tblGrid>
      <w:tr>
        <w:tc>
          <w:tcPr/>
          <w:bookmarkStart w:id="93" w:name="fig-conclusions-expertise"/>
          <w:p>
            <w:pPr>
              <w:jc w:val="center"/>
            </w:pPr>
            <w:r>
              <w:drawing>
                <wp:inline>
                  <wp:extent cx="4620126" cy="3696101"/>
                  <wp:effectExtent b="0" l="0" r="0" t="0"/>
                  <wp:docPr descr="" title="" id="91" name="Picture"/>
                  <a:graphic>
                    <a:graphicData uri="http://schemas.openxmlformats.org/drawingml/2006/picture">
                      <pic:pic>
                        <pic:nvPicPr>
                          <pic:cNvPr descr="multi100_results_files/figure-docx/fig-conclusions-expertise-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 … The figure does not display the bottom two categories where for each less than 3 responses were collected.</w:t>
            </w:r>
          </w:p>
          <w:bookmarkEnd w:id="93"/>
        </w:tc>
      </w:tr>
    </w:tbl>
    <w:bookmarkEnd w:id="94"/>
    <w:bookmarkStart w:id="99" w:name="Xdf6d20924b20e3272f9014898f0c933f1e1335c"/>
    <w:p>
      <w:pPr>
        <w:pStyle w:val="Heading4"/>
      </w:pPr>
      <w:r>
        <w:t xml:space="preserve">Robustness by prior familiarity with the dataset</w:t>
      </w:r>
    </w:p>
    <w:p>
      <w:pPr>
        <w:pStyle w:val="FirstParagraph"/>
      </w:pPr>
      <w:r>
        <w:t xml:space="preserve">Here, we were interested to see whether these results show a different pattern when inspecting them along their prior familiarity with the dataset. The following figure shows that for these results.</w:t>
      </w:r>
    </w:p>
    <w:tbl>
      <w:tblPr>
        <w:tblStyle w:val="Table"/>
        <w:tblW w:type="pct" w:w="5000"/>
        <w:tblLook w:firstRow="0" w:lastRow="0" w:firstColumn="0" w:lastColumn="0" w:noHBand="0" w:noVBand="0" w:val="0000"/>
        <w:jc w:val="start"/>
      </w:tblPr>
      <w:tblGrid>
        <w:gridCol w:w="7920"/>
      </w:tblGrid>
      <w:tr>
        <w:tc>
          <w:tcPr/>
          <w:bookmarkStart w:id="98" w:name="fig-conclusions-familiarity"/>
          <w:p>
            <w:pPr>
              <w:jc w:val="center"/>
            </w:pPr>
            <w:r>
              <w:drawing>
                <wp:inline>
                  <wp:extent cx="4620126" cy="3696101"/>
                  <wp:effectExtent b="0" l="0" r="0" t="0"/>
                  <wp:docPr descr="" title="" id="96" name="Picture"/>
                  <a:graphic>
                    <a:graphicData uri="http://schemas.openxmlformats.org/drawingml/2006/picture">
                      <pic:pic>
                        <pic:nvPicPr>
                          <pic:cNvPr descr="multi100_results_files/figure-docx/fig-conclusions-familiarity-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w:t>
            </w:r>
          </w:p>
          <w:bookmarkEnd w:id="98"/>
        </w:tc>
      </w:tr>
    </w:tbl>
    <w:bookmarkEnd w:id="99"/>
    <w:bookmarkStart w:id="104" w:name="Xc9960a085ab4e153b3088d53d44b9c35e355956"/>
    <w:p>
      <w:pPr>
        <w:pStyle w:val="Heading4"/>
      </w:pPr>
      <w:r>
        <w:t xml:space="preserve">Robustness by the suitability of their self-judged analysis</w:t>
      </w:r>
    </w:p>
    <w:tbl>
      <w:tblPr>
        <w:tblStyle w:val="Table"/>
        <w:tblW w:type="pct" w:w="5000"/>
        <w:tblLook w:firstRow="0" w:lastRow="0" w:firstColumn="0" w:lastColumn="0" w:noHBand="0" w:noVBand="0" w:val="0000"/>
        <w:jc w:val="start"/>
      </w:tblPr>
      <w:tblGrid>
        <w:gridCol w:w="7920"/>
      </w:tblGrid>
      <w:tr>
        <w:tc>
          <w:tcPr/>
          <w:bookmarkStart w:id="103" w:name="fig-conclusions-suitability"/>
          <w:p>
            <w:pPr>
              <w:jc w:val="center"/>
            </w:pPr>
            <w:r>
              <w:drawing>
                <wp:inline>
                  <wp:extent cx="4620126" cy="3696101"/>
                  <wp:effectExtent b="0" l="0" r="0" t="0"/>
                  <wp:docPr descr="" title="" id="101" name="Picture"/>
                  <a:graphic>
                    <a:graphicData uri="http://schemas.openxmlformats.org/drawingml/2006/picture">
                      <pic:pic>
                        <pic:nvPicPr>
                          <pic:cNvPr descr="multi100_results_files/figure-docx/fig-conclusions-suitability-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w:t>
            </w:r>
          </w:p>
          <w:bookmarkEnd w:id="103"/>
        </w:tc>
      </w:tr>
    </w:tbl>
    <w:bookmarkEnd w:id="104"/>
    <w:bookmarkStart w:id="109" w:name="robustness-by-the-sample-size"/>
    <w:p>
      <w:pPr>
        <w:pStyle w:val="Heading4"/>
      </w:pPr>
      <w:r>
        <w:t xml:space="preserve">Robustness by the sample size</w:t>
      </w:r>
    </w:p>
    <w:p>
      <w:pPr>
        <w:pStyle w:val="FirstParagraph"/>
      </w:pPr>
      <w:r>
        <w:t xml:space="preserve">Here, we were interested to see whether these results show a different pattern when considering sample size. The following figure shows that for that…,</w:t>
      </w:r>
    </w:p>
    <w:tbl>
      <w:tblPr>
        <w:tblStyle w:val="Table"/>
        <w:tblW w:type="pct" w:w="5000"/>
        <w:tblLook w:firstRow="0" w:lastRow="0" w:firstColumn="0" w:lastColumn="0" w:noHBand="0" w:noVBand="0" w:val="0000"/>
        <w:jc w:val="start"/>
      </w:tblPr>
      <w:tblGrid>
        <w:gridCol w:w="7920"/>
      </w:tblGrid>
      <w:tr>
        <w:tc>
          <w:tcPr/>
          <w:bookmarkStart w:id="108" w:name="fig-conclusions-samplesize"/>
          <w:p>
            <w:pPr>
              <w:jc w:val="center"/>
            </w:pPr>
            <w:r>
              <w:drawing>
                <wp:inline>
                  <wp:extent cx="4620126" cy="3696101"/>
                  <wp:effectExtent b="0" l="0" r="0" t="0"/>
                  <wp:docPr descr="" title="" id="106" name="Picture"/>
                  <a:graphic>
                    <a:graphicData uri="http://schemas.openxmlformats.org/drawingml/2006/picture">
                      <pic:pic>
                        <pic:nvPicPr>
                          <pic:cNvPr descr="multi100_results_files/figure-docx/fig-conclusions-samplesize-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w:t>
            </w:r>
          </w:p>
          <w:bookmarkEnd w:id="108"/>
        </w:tc>
      </w:tr>
    </w:tbl>
    <w:bookmarkEnd w:id="109"/>
    <w:bookmarkStart w:id="156" w:name="X19613cc9aa00056d1b0ab2c7548dc7c194c2a36"/>
    <w:p>
      <w:pPr>
        <w:pStyle w:val="Heading4"/>
      </w:pPr>
      <w:r>
        <w:t xml:space="preserve">How robust are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w:t>
      </w:r>
    </w:p>
    <w:tbl>
      <w:tblPr>
        <w:tblStyle w:val="Table"/>
        <w:tblW w:type="pct" w:w="5000"/>
        <w:tblLook w:firstRow="0" w:lastRow="0" w:firstColumn="0" w:lastColumn="0" w:noHBand="0" w:noVBand="0" w:val="0000"/>
        <w:jc w:val="start"/>
      </w:tblPr>
      <w:tblGrid>
        <w:gridCol w:w="7920"/>
      </w:tblGrid>
      <w:tr>
        <w:tc>
          <w:tcPr/>
          <w:bookmarkStart w:id="113" w:name="fig-effect-main"/>
          <w:p>
            <w:pPr>
              <w:jc w:val="center"/>
            </w:pPr>
            <w:r>
              <w:drawing>
                <wp:inline>
                  <wp:extent cx="4620126" cy="3696101"/>
                  <wp:effectExtent b="0" l="0" r="0" t="0"/>
                  <wp:docPr descr="" title="" id="111" name="Picture"/>
                  <a:graphic>
                    <a:graphicData uri="http://schemas.openxmlformats.org/drawingml/2006/picture">
                      <pic:pic>
                        <pic:nvPicPr>
                          <pic:cNvPr descr="multi100_results_files/figure-docx/fig-effect-main-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w:t>
            </w:r>
          </w:p>
          <w:bookmarkEnd w:id="11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7" w:name="fig-effect-region-all"/>
          <w:p>
            <w:pPr>
              <w:jc w:val="center"/>
            </w:pPr>
            <w:r>
              <w:drawing>
                <wp:inline>
                  <wp:extent cx="4620126" cy="3696101"/>
                  <wp:effectExtent b="0" l="0" r="0" t="0"/>
                  <wp:docPr descr="" title="" id="115" name="Picture"/>
                  <a:graphic>
                    <a:graphicData uri="http://schemas.openxmlformats.org/drawingml/2006/picture">
                      <pic:pic>
                        <pic:nvPicPr>
                          <pic:cNvPr descr="multi100_results_files/figure-docx/fig-effect-region-all-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w:t>
            </w:r>
          </w:p>
          <w:bookmarkEnd w:id="117"/>
        </w:tc>
      </w:tr>
    </w:tbl>
    <w:p>
      <w:pPr>
        <w:pStyle w:val="BodyText"/>
      </w:pPr>
      <w:r>
        <w:t xml:space="preserve">Here, we were interested in what percentage of the new effect sizes were beyond the tolerance region (+/- 0.05 Cohen’s d). We found that 96% (89 out of 93) of the studies contained at least one re-analysis result where the effect size was beyond the tolerance region (+/- 0.05 Cohen’s d) of the result of the original study. Out of the 392 reanalyses effect sizes with available tolerance regions 67.86% (266) were outside of the tolerance region.</w:t>
      </w:r>
    </w:p>
    <w:bookmarkStart w:id="126" w:name="robustness-by-field-1"/>
    <w:p>
      <w:pPr>
        <w:pStyle w:val="Heading5"/>
      </w:pPr>
      <w:r>
        <w:t xml:space="preserve">Robustness by field</w:t>
      </w:r>
    </w:p>
    <w:p>
      <w:pPr>
        <w:pStyle w:val="FirstParagraph"/>
      </w:pPr>
      <w:r>
        <w:t xml:space="preserve">We were interested to see whether these robustness results show a different pattern when inspecting them in different fields. The following figure shows that for the major fields (&gt;=10 studies).</w:t>
      </w:r>
    </w:p>
    <w:tbl>
      <w:tblPr>
        <w:tblStyle w:val="Table"/>
        <w:tblW w:type="pct" w:w="5000"/>
        <w:tblLook w:firstRow="0" w:lastRow="0" w:firstColumn="0" w:lastColumn="0" w:noHBand="0" w:noVBand="0" w:val="0000"/>
        <w:jc w:val="start"/>
      </w:tblPr>
      <w:tblGrid>
        <w:gridCol w:w="7920"/>
      </w:tblGrid>
      <w:tr>
        <w:tc>
          <w:tcPr/>
          <w:bookmarkStart w:id="121" w:name="fig-effect-region-discipline"/>
          <w:p>
            <w:pPr>
              <w:jc w:val="center"/>
            </w:pPr>
            <w:r>
              <w:drawing>
                <wp:inline>
                  <wp:extent cx="4620126" cy="3696101"/>
                  <wp:effectExtent b="0" l="0" r="0" t="0"/>
                  <wp:docPr descr="" title="" id="119" name="Picture"/>
                  <a:graphic>
                    <a:graphicData uri="http://schemas.openxmlformats.org/drawingml/2006/picture">
                      <pic:pic>
                        <pic:nvPicPr>
                          <pic:cNvPr descr="multi100_results_files/figure-docx/fig-effect-region-discipline-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The figure shows</w:t>
            </w:r>
          </w:p>
          <w:bookmarkEnd w:id="12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5" w:name="fig-effect-robustness-discipline"/>
          <w:p>
            <w:pPr>
              <w:jc w:val="center"/>
            </w:pPr>
            <w:r>
              <w:drawing>
                <wp:inline>
                  <wp:extent cx="4620126" cy="3696101"/>
                  <wp:effectExtent b="0" l="0" r="0" t="0"/>
                  <wp:docPr descr="" title="" id="123" name="Picture"/>
                  <a:graphic>
                    <a:graphicData uri="http://schemas.openxmlformats.org/drawingml/2006/picture">
                      <pic:pic>
                        <pic:nvPicPr>
                          <pic:cNvPr descr="multi100_results_files/figure-docx/fig-effect-robustness-discipline-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w:t>
            </w:r>
          </w:p>
          <w:bookmarkEnd w:id="125"/>
        </w:tc>
      </w:tr>
    </w:tbl>
    <w:bookmarkEnd w:id="126"/>
    <w:bookmarkStart w:id="135" w:name="X3d2dbb54349e59c1e11b3342f9d29aa6f2a0418"/>
    <w:p>
      <w:pPr>
        <w:pStyle w:val="Heading5"/>
      </w:pPr>
      <w:r>
        <w:t xml:space="preserve">Robustness by study type (observational, experimental)</w:t>
      </w:r>
    </w:p>
    <w:p>
      <w:pPr>
        <w:pStyle w:val="FirstParagraph"/>
      </w:pPr>
      <w:r>
        <w:t xml:space="preserve">Here,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30" w:name="fig-effect-region-studytype"/>
          <w:p>
            <w:pPr>
              <w:jc w:val="center"/>
            </w:pPr>
            <w:r>
              <w:drawing>
                <wp:inline>
                  <wp:extent cx="4620126" cy="3696101"/>
                  <wp:effectExtent b="0" l="0" r="0" t="0"/>
                  <wp:docPr descr="" title="" id="128" name="Picture"/>
                  <a:graphic>
                    <a:graphicData uri="http://schemas.openxmlformats.org/drawingml/2006/picture">
                      <pic:pic>
                        <pic:nvPicPr>
                          <pic:cNvPr descr="multi100_results_files/figure-docx/fig-effect-region-studytype-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w:t>
            </w:r>
          </w:p>
          <w:bookmarkEnd w:id="13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4" w:name="fig-effect-robustness-studytype"/>
          <w:p>
            <w:pPr>
              <w:jc w:val="center"/>
            </w:pPr>
            <w:r>
              <w:drawing>
                <wp:inline>
                  <wp:extent cx="4620126" cy="3696101"/>
                  <wp:effectExtent b="0" l="0" r="0" t="0"/>
                  <wp:docPr descr="" title="" id="132" name="Picture"/>
                  <a:graphic>
                    <a:graphicData uri="http://schemas.openxmlformats.org/drawingml/2006/picture">
                      <pic:pic>
                        <pic:nvPicPr>
                          <pic:cNvPr descr="multi100_results_files/figure-docx/fig-effect-robustness-studytype-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w:t>
            </w:r>
          </w:p>
          <w:bookmarkEnd w:id="134"/>
        </w:tc>
      </w:tr>
    </w:tbl>
    <w:bookmarkEnd w:id="135"/>
    <w:bookmarkStart w:id="140" w:name="X1cf1df07ddc83795dadf63bf13e7dad54d7d9a3"/>
    <w:p>
      <w:pPr>
        <w:pStyle w:val="Heading5"/>
      </w:pPr>
      <w:r>
        <w:t xml:space="preserve">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39" w:name="fig-effect-region-expertise"/>
          <w:p>
            <w:pPr>
              <w:jc w:val="center"/>
            </w:pPr>
            <w:r>
              <w:drawing>
                <wp:inline>
                  <wp:extent cx="4620126" cy="3696101"/>
                  <wp:effectExtent b="0" l="0" r="0" t="0"/>
                  <wp:docPr descr="" title="" id="137" name="Picture"/>
                  <a:graphic>
                    <a:graphicData uri="http://schemas.openxmlformats.org/drawingml/2006/picture">
                      <pic:pic>
                        <pic:nvPicPr>
                          <pic:cNvPr descr="multi100_results_files/figure-docx/fig-effect-region-expertise-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The figure shows</w:t>
            </w:r>
          </w:p>
          <w:bookmarkEnd w:id="139"/>
        </w:tc>
      </w:tr>
    </w:tbl>
    <w:bookmarkEnd w:id="140"/>
    <w:bookmarkStart w:id="145" w:name="X4aeefd5375d2e0c5dd702e54ce13a40373c9958"/>
    <w:p>
      <w:pPr>
        <w:pStyle w:val="Heading5"/>
      </w:pPr>
      <w:r>
        <w:t xml:space="preserve">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25</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44" w:name="fig-effect-region-familiarity"/>
          <w:p>
            <w:pPr>
              <w:jc w:val="center"/>
            </w:pPr>
            <w:r>
              <w:drawing>
                <wp:inline>
                  <wp:extent cx="4620126" cy="3696101"/>
                  <wp:effectExtent b="0" l="0" r="0" t="0"/>
                  <wp:docPr descr="" title="" id="142" name="Picture"/>
                  <a:graphic>
                    <a:graphicData uri="http://schemas.openxmlformats.org/drawingml/2006/picture">
                      <pic:pic>
                        <pic:nvPicPr>
                          <pic:cNvPr descr="multi100_results_files/figure-docx/fig-effect-region-familiarity-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w:t>
            </w:r>
          </w:p>
          <w:bookmarkEnd w:id="144"/>
        </w:tc>
      </w:tr>
    </w:tbl>
    <w:bookmarkEnd w:id="145"/>
    <w:bookmarkStart w:id="150" w:name="X34ab00e89b109d172a32d1a79142d682bc92f81"/>
    <w:p>
      <w:pPr>
        <w:pStyle w:val="Heading5"/>
      </w:pPr>
      <w:r>
        <w:t xml:space="preserve">Robustness by the suitability of their self-judged analysis</w:t>
      </w:r>
    </w:p>
    <w:tbl>
      <w:tblPr>
        <w:tblStyle w:val="Table"/>
        <w:tblW w:type="pct" w:w="5000"/>
        <w:tblLook w:firstRow="0" w:lastRow="0" w:firstColumn="0" w:lastColumn="0" w:noHBand="0" w:noVBand="0" w:val="0000"/>
        <w:jc w:val="start"/>
      </w:tblPr>
      <w:tblGrid>
        <w:gridCol w:w="7920"/>
      </w:tblGrid>
      <w:tr>
        <w:tc>
          <w:tcPr/>
          <w:bookmarkStart w:id="149" w:name="fig-effect-region-suitability"/>
          <w:p>
            <w:pPr>
              <w:jc w:val="center"/>
            </w:pPr>
            <w:r>
              <w:drawing>
                <wp:inline>
                  <wp:extent cx="4620126" cy="3696101"/>
                  <wp:effectExtent b="0" l="0" r="0" t="0"/>
                  <wp:docPr descr="" title="" id="147" name="Picture"/>
                  <a:graphic>
                    <a:graphicData uri="http://schemas.openxmlformats.org/drawingml/2006/picture">
                      <pic:pic>
                        <pic:nvPicPr>
                          <pic:cNvPr descr="multi100_results_files/figure-docx/fig-effect-region-suitability-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The figure shows</w:t>
            </w:r>
          </w:p>
          <w:bookmarkEnd w:id="149"/>
        </w:tc>
      </w:tr>
    </w:tbl>
    <w:bookmarkEnd w:id="150"/>
    <w:bookmarkStart w:id="155" w:name="robustness-by-the-sample-size-1"/>
    <w:p>
      <w:pPr>
        <w:pStyle w:val="Heading5"/>
      </w:pPr>
      <w:r>
        <w:t xml:space="preserve">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27</w:t>
        </w:r>
      </w:hyperlink>
      <w:r>
        <w:t xml:space="preserve"> </w:t>
      </w:r>
      <w:r>
        <w:t xml:space="preserve">shows that for that…,</w:t>
      </w:r>
    </w:p>
    <w:tbl>
      <w:tblPr>
        <w:tblStyle w:val="Table"/>
        <w:tblW w:type="pct" w:w="5000"/>
        <w:tblLook w:firstRow="0" w:lastRow="0" w:firstColumn="0" w:lastColumn="0" w:noHBand="0" w:noVBand="0" w:val="0000"/>
        <w:jc w:val="start"/>
      </w:tblPr>
      <w:tblGrid>
        <w:gridCol w:w="7920"/>
      </w:tblGrid>
      <w:tr>
        <w:tc>
          <w:tcPr/>
          <w:bookmarkStart w:id="154" w:name="fig-samplesize-region"/>
          <w:p>
            <w:pPr>
              <w:jc w:val="center"/>
            </w:pPr>
            <w:r>
              <w:drawing>
                <wp:inline>
                  <wp:extent cx="4620126" cy="3696101"/>
                  <wp:effectExtent b="0" l="0" r="0" t="0"/>
                  <wp:docPr descr="" title="" id="152" name="Picture"/>
                  <a:graphic>
                    <a:graphicData uri="http://schemas.openxmlformats.org/drawingml/2006/picture">
                      <pic:pic>
                        <pic:nvPicPr>
                          <pic:cNvPr descr="multi100_results_files/figure-docx/fig-samplesize-region-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how the sample size influences whether the re-analysis effect sizes were within the tolerance region. For the figure we did not inlcude: those studies were the original effect sizes were missing, and cases where the re-analysis effect size or sample size were missing.</w:t>
            </w:r>
          </w:p>
          <w:bookmarkEnd w:id="154"/>
        </w:tc>
      </w:tr>
    </w:tbl>
    <w:bookmarkEnd w:id="155"/>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76" Target="media/rId76.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105" Target="media/rId105.png" /><Relationship Type="http://schemas.openxmlformats.org/officeDocument/2006/relationships/image" Id="rId85" Target="media/rId85.png" /><Relationship Type="http://schemas.openxmlformats.org/officeDocument/2006/relationships/image" Id="rId100" Target="media/rId100.png" /><Relationship Type="http://schemas.openxmlformats.org/officeDocument/2006/relationships/image" Id="rId25" Target="media/rId25.png" /><Relationship Type="http://schemas.openxmlformats.org/officeDocument/2006/relationships/image" Id="rId72" Target="media/rId72.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27" Target="media/rId127.png" /><Relationship Type="http://schemas.openxmlformats.org/officeDocument/2006/relationships/image" Id="rId146" Target="media/rId146.png" /><Relationship Type="http://schemas.openxmlformats.org/officeDocument/2006/relationships/image" Id="rId122" Target="media/rId122.png" /><Relationship Type="http://schemas.openxmlformats.org/officeDocument/2006/relationships/image" Id="rId131" Target="media/rId131.png" /><Relationship Type="http://schemas.openxmlformats.org/officeDocument/2006/relationships/image" Id="rId29" Target="media/rId29.png" /><Relationship Type="http://schemas.openxmlformats.org/officeDocument/2006/relationships/image" Id="rId151" Target="media/rId15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81" Target="media/rId81.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2023-12-18T10:59:20Z</dcterms:created>
  <dcterms:modified xsi:type="dcterms:W3CDTF">2023-12-18T10:59:20Z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