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70.png" ContentType="image/png"/>
  <Override PartName="/word/media/rId21.png" ContentType="image/png"/>
  <Override PartName="/word/media/rId33.png" ContentType="image/png"/>
  <Override PartName="/word/media/rId80.png" ContentType="image/png"/>
  <Override PartName="/word/media/rId94.png" ContentType="image/png"/>
  <Override PartName="/word/media/rId104.png" ContentType="image/png"/>
  <Override PartName="/word/media/rId72.png" ContentType="image/png"/>
  <Override PartName="/word/media/rId68.png" ContentType="image/png"/>
  <Override PartName="/word/media/rId110.png" ContentType="image/png"/>
  <Override PartName="/word/media/rId89.png" ContentType="image/png"/>
  <Override PartName="/word/media/rId25.png" ContentType="image/png"/>
  <Override PartName="/word/media/rId76.png" ContentType="image/png"/>
  <Override PartName="/word/media/rId115.png" ContentType="image/png"/>
  <Override PartName="/word/media/rId122.png" ContentType="image/png"/>
  <Override PartName="/word/media/rId132.png" ContentType="image/png"/>
  <Override PartName="/word/media/rId150.png" ContentType="image/png"/>
  <Override PartName="/word/media/rId155.png" ContentType="image/png"/>
  <Override PartName="/word/media/rId141.png" ContentType="image/png"/>
  <Override PartName="/word/media/rId136.png" ContentType="image/png"/>
  <Override PartName="/word/media/rId145.png" ContentType="image/png"/>
  <Override PartName="/word/media/rId55.png" ContentType="image/png"/>
  <Override PartName="/word/media/rId59.png" ContentType="image/png"/>
  <Override PartName="/word/media/rId51.png" ContentType="image/png"/>
  <Override PartName="/word/media/rId29.png" ContentType="image/png"/>
  <Override PartName="/word/media/rId161.png" ContentType="image/png"/>
  <Override PartName="/word/media/rId37.png" ContentType="image/png"/>
  <Override PartName="/word/media/rId41.png" ContentType="image/png"/>
  <Override PartName="/word/media/rId85.png" ContentType="image/png"/>
  <Override PartName="/word/media/rId99.png" ContentType="image/png"/>
  <Override PartName="/word/media/rId46.png" ContentType="image/png"/>
  <Override PartName="/word/media/rId119.png" ContentType="image/png"/>
  <Override PartName="/word/media/rId126.png" ContentType="image/png"/>
  <Override PartName="/word/media/rId129.png" ContentType="image/png"/>
  <Override PartName="/word/media/rId16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Results</w:t>
      </w:r>
    </w:p>
    <w:bookmarkStart w:id="20" w:name="general-descriptives"/>
    <w:p>
      <w:pPr>
        <w:pStyle w:val="Heading2"/>
      </w:pPr>
      <w:r>
        <w:t xml:space="preserve">General descriptives</w:t>
      </w:r>
    </w:p>
    <w:p>
      <w:pPr>
        <w:pStyle w:val="FirstParagraph"/>
      </w:pPr>
      <w:r>
        <w:t xml:space="preserve">As a response to our recruitment call, 1141 researchers signed up to participate in our study. Out of these volunteers, 459 signed up to analyse at least one dataset and submitted their work by the deadline or an extended deadline.</w:t>
      </w:r>
    </w:p>
    <w:p>
      <w:pPr>
        <w:pStyle w:val="BodyText"/>
      </w:pPr>
      <w:r>
        <w:t xml:space="preserve">Throughout the project, 509 re-analyses have been submitted. This number is higher than the number of co-analysts as some co-analysts volunteered to analyse more than one dataset.</w:t>
      </w:r>
    </w:p>
    <w:p>
      <w:pPr>
        <w:pStyle w:val="BodyText"/>
      </w:pPr>
      <w:r>
        <w:t xml:space="preserve">Out of the submitted analyses 1 of them was omitted from the summary analysis as its analysis failed the peer evaluation and an additional 4 analyses were excluded due to incomplete responses.</w:t>
      </w:r>
    </w:p>
    <w:p>
      <w:pPr>
        <w:pStyle w:val="BodyText"/>
      </w:pPr>
      <w:r>
        <w:t xml:space="preserve">As a result, we ended up with 504 re-analyses, submitted by 457 co-analysts.</w:t>
      </w:r>
    </w:p>
    <w:p>
      <w:pPr>
        <w:pStyle w:val="BodyText"/>
      </w:pPr>
      <w:r>
        <w:t xml:space="preserve">Although we invited more than 5 co-analysts to each of the 100 studies, due to drop-outs and peer evaluation exclusions the final number of completed analyses ranged between 3 and 7. Table 1 shows the distribution of of the number of analyses for individual studies.</w:t>
      </w:r>
    </w:p>
    <w:p>
      <w:pPr>
        <w:pStyle w:val="BodyText"/>
      </w:pPr>
      <w:r>
        <w:rPr>
          <w:bCs/>
          <w:b/>
        </w:rPr>
        <w:t xml:space="preserve">Table 1. The Distribution of the Number of Analyses for Studies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Number of Completed Analyses</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Number of Studies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r>
    </w:tbl>
    <w:bookmarkEnd w:id="20"/>
    <w:bookmarkStart w:id="45" w:name="basic-demographics-of-the-co-analysts"/>
    <w:p>
      <w:pPr>
        <w:pStyle w:val="Heading2"/>
      </w:pPr>
      <w:r>
        <w:t xml:space="preserve">Basic demographics of the co-analysts</w:t>
      </w:r>
    </w:p>
    <w:p>
      <w:pPr>
        <w:pStyle w:val="FirstParagraph"/>
      </w:pPr>
      <w:r>
        <w:t xml:space="preserve">Out of all the co-analysts who submitted their work by the deadline, there were 23 professors, 41 associate professors, 105 assistant professors, 107 post-doctoral researchers, 122 doctoral students, 59 from other academic/research positions.</w:t>
      </w:r>
    </w:p>
    <w:p>
      <w:pPr>
        <w:pStyle w:val="BodyText"/>
      </w:pPr>
      <w:r>
        <w:t xml:space="preserve">The gender distribution of the co-analysts is as follows: 117 female, 332 male, 1 other, and 7 didn’t want to respond to this question.</w:t>
      </w:r>
    </w:p>
    <w:p>
      <w:pPr>
        <w:pStyle w:val="BodyText"/>
      </w:pPr>
      <w:r>
        <w:t xml:space="preserve">The age distribution of the co-analysts is depicted in</w:t>
      </w:r>
      <w:r>
        <w:t xml:space="preserve"> </w:t>
      </w:r>
      <w:hyperlink w:anchor="fig-age-plot">
        <w:r>
          <w:rPr>
            <w:rStyle w:val="Hyperlink"/>
          </w:rPr>
          <w:t xml:space="preserve">Figure 1</w:t>
        </w:r>
      </w:hyperlink>
      <w:r>
        <w:t xml:space="preserve">. 375 young adults (-39 years); 81 middle-aged adults (40-59 years); and no old adults (60- years).</w:t>
      </w:r>
    </w:p>
    <w:tbl>
      <w:tblPr>
        <w:tblStyle w:val="Table"/>
        <w:tblW w:type="pct" w:w="5000"/>
        <w:tblLook w:firstRow="0" w:lastRow="0" w:firstColumn="0" w:lastColumn="0" w:noHBand="0" w:noVBand="0" w:val="0000"/>
        <w:jc w:val="start"/>
      </w:tblPr>
      <w:tblGrid>
        <w:gridCol w:w="7920"/>
      </w:tblGrid>
      <w:tr>
        <w:tc>
          <w:tcPr/>
          <w:bookmarkStart w:id="24" w:name="fig-age-plot"/>
          <w:p>
            <w:pPr>
              <w:jc w:val="center"/>
            </w:pPr>
            <w:r>
              <w:drawing>
                <wp:inline>
                  <wp:extent cx="4620126" cy="3696101"/>
                  <wp:effectExtent b="0" l="0" r="0" t="0"/>
                  <wp:docPr descr="" title="" id="22" name="Picture"/>
                  <a:graphic>
                    <a:graphicData uri="http://schemas.openxmlformats.org/drawingml/2006/picture">
                      <pic:pic>
                        <pic:nvPicPr>
                          <pic:cNvPr descr="multi100_results_files/figure-docx/fig-age-plot-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figure shows the distribution of the analysts’ age. When an analyst submitted more than one re-analysis with more than a year apart, we kept only their age at the time of their first submission. Moreover, one analyst is excluded because they did not disclose their age.</w:t>
            </w:r>
          </w:p>
          <w:bookmarkEnd w:id="24"/>
        </w:tc>
      </w:tr>
    </w:tbl>
    <w:p>
      <w:pPr>
        <w:pStyle w:val="BodyText"/>
      </w:pPr>
      <w:r>
        <w:t xml:space="preserve">Regarding the highest level of education, 1 co-analyst reported High-school diploma or equivalent, 18 co-analysts had Bachelor’s degree or equivalent, 135 Master’s degree or equivalent, 303 had Doctoral degree or equivalent. In case the analysts completed more than one re-analysis and they advanced in their studies by the time of their second analysis, we kept only their first response for this comparison.</w:t>
      </w:r>
    </w:p>
    <w:p>
      <w:pPr>
        <w:pStyle w:val="BodyText"/>
      </w:pPr>
      <w:r>
        <w:t xml:space="preserve">The country of residence of the co-analysts is shown on the map on</w:t>
      </w:r>
      <w:r>
        <w:t xml:space="preserve"> </w:t>
      </w:r>
      <w:hyperlink w:anchor="fig-country-plot">
        <w:r>
          <w:rPr>
            <w:rStyle w:val="Hyperlink"/>
          </w:rPr>
          <w:t xml:space="preserve">Figure 2</w:t>
        </w:r>
      </w:hyperlink>
      <w:r>
        <w:t xml:space="preserve">. Regarding the continents, 1 co-analyst was from Africa, 27 were from Asia, 15 from Oceania, 296 from Europe, 112 from North America, 6 from South America.</w:t>
      </w:r>
    </w:p>
    <w:tbl>
      <w:tblPr>
        <w:tblStyle w:val="Table"/>
        <w:tblW w:type="pct" w:w="5000"/>
        <w:tblLook w:firstRow="0" w:lastRow="0" w:firstColumn="0" w:lastColumn="0" w:noHBand="0" w:noVBand="0" w:val="0000"/>
        <w:jc w:val="start"/>
      </w:tblPr>
      <w:tblGrid>
        <w:gridCol w:w="7920"/>
      </w:tblGrid>
      <w:tr>
        <w:tc>
          <w:tcPr/>
          <w:bookmarkStart w:id="28" w:name="fig-country-plot"/>
          <w:p>
            <w:pPr>
              <w:jc w:val="center"/>
            </w:pPr>
            <w:r>
              <w:drawing>
                <wp:inline>
                  <wp:extent cx="4620126" cy="3696101"/>
                  <wp:effectExtent b="0" l="0" r="0" t="0"/>
                  <wp:docPr descr="" title="" id="26" name="Picture"/>
                  <a:graphic>
                    <a:graphicData uri="http://schemas.openxmlformats.org/drawingml/2006/picture">
                      <pic:pic>
                        <pic:nvPicPr>
                          <pic:cNvPr descr="multi100_results_files/figure-docx/fig-country-plot-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The figure shows the analysts’ country of residence. When an analyst submitted more than one re-analysis and they moved between the submissions, we only kept their first response.</w:t>
            </w:r>
          </w:p>
          <w:bookmarkEnd w:id="28"/>
        </w:tc>
      </w:tr>
    </w:tbl>
    <w:p>
      <w:pPr>
        <w:pStyle w:val="BodyText"/>
      </w:pPr>
      <w:r>
        <w:t xml:space="preserve">We asked the co-analysts which discipline is the closest to their research area. The following Table 2 summarizes the distribution of their disciplinary orientation. Co-analysts from Psychology and Economics disciplines participated in the highest ratio in this study.</w:t>
      </w:r>
    </w:p>
    <w:p>
      <w:pPr>
        <w:pStyle w:val="BodyText"/>
      </w:pPr>
      <w:r>
        <w:rPr>
          <w:bCs/>
          <w:b/>
        </w:rPr>
        <w:t xml:space="preserve">Table 2. The Distribution of Co-analysts’ Disciplinary Orientation</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Discipline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Count</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Percentage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Psychology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Economics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Political Science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Business Studies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Sociology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Computer Science/Statistics/Data Science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Public Policy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Anthropology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International Relations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3.94</w:t>
            </w:r>
          </w:p>
        </w:tc>
      </w:tr>
      <w:tr>
        <w:trPr>
          <w:cantSplit/>
        </w:trPr>
        <w:tc>
          <w:tcPr>
            <w:gridSpan w:val="3"/>
          </w:tcPr>
          <w:p>
            <w:pPr>
              <w:spacing w:before="0" w:after="60"/>
              <w:keepNext/>
            </w:pPr>
            <w:r>
              <w:rPr>
                <w:rFonts w:ascii="Calibri" w:hAnsi="Calibri"/>
                <w:sz w:val="20"/>
              </w:rPr>
              <w:t xml:space="default">Note: Whenever the respondents provided more than one field we only kept their first responses.</w:t>
            </w:r>
          </w:p>
        </w:tc>
      </w:tr>
    </w:tbl>
    <w:p>
      <w:pPr>
        <w:pStyle w:val="BodyText"/>
      </w:pPr>
      <w:r>
        <w:t xml:space="preserve">The distribution of the years of experience with data analysis is depicted on</w:t>
      </w:r>
      <w:r>
        <w:t xml:space="preserve"> </w:t>
      </w:r>
      <w:hyperlink w:anchor="fig-experience-years-plot">
        <w:r>
          <w:rPr>
            <w:rStyle w:val="Hyperlink"/>
          </w:rPr>
          <w:t xml:space="preserve">Figure 3</w:t>
        </w:r>
      </w:hyperlink>
      <w:r>
        <w:t xml:space="preserve">. The median time of experience with data analysis was 8 years among our co-analysts.</w:t>
      </w:r>
    </w:p>
    <w:tbl>
      <w:tblPr>
        <w:tblStyle w:val="Table"/>
        <w:tblW w:type="pct" w:w="5000"/>
        <w:tblLook w:firstRow="0" w:lastRow="0" w:firstColumn="0" w:lastColumn="0" w:noHBand="0" w:noVBand="0" w:val="0000"/>
        <w:jc w:val="start"/>
      </w:tblPr>
      <w:tblGrid>
        <w:gridCol w:w="7920"/>
      </w:tblGrid>
      <w:tr>
        <w:tc>
          <w:tcPr/>
          <w:bookmarkStart w:id="32" w:name="fig-experience-years-plot"/>
          <w:p>
            <w:pPr>
              <w:jc w:val="center"/>
            </w:pPr>
            <w:r>
              <w:drawing>
                <wp:inline>
                  <wp:extent cx="4620126" cy="3696101"/>
                  <wp:effectExtent b="0" l="0" r="0" t="0"/>
                  <wp:docPr descr="" title="" id="30" name="Picture"/>
                  <a:graphic>
                    <a:graphicData uri="http://schemas.openxmlformats.org/drawingml/2006/picture">
                      <pic:pic>
                        <pic:nvPicPr>
                          <pic:cNvPr descr="multi100_results_files/figure-docx/fig-experience-years-plot-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The figure shows the analysts’ years of experience with data analysis. When an analyst submitted more than one re-analysis and a year passed between the responses we only kept their first response.</w:t>
            </w:r>
          </w:p>
          <w:bookmarkEnd w:id="32"/>
        </w:tc>
      </w:tr>
    </w:tbl>
    <w:p>
      <w:pPr>
        <w:pStyle w:val="BodyText"/>
      </w:pPr>
      <w:r>
        <w:t xml:space="preserve">We asked our co-analysts how regularly they perform data analysis.</w:t>
      </w:r>
      <w:r>
        <w:t xml:space="preserve"> </w:t>
      </w:r>
      <w:hyperlink w:anchor="fig-analysis-frequency">
        <w:r>
          <w:rPr>
            <w:rStyle w:val="Hyperlink"/>
          </w:rPr>
          <w:t xml:space="preserve">Figure 4</w:t>
        </w:r>
      </w:hyperlink>
      <w:r>
        <w:t xml:space="preserve"> </w:t>
      </w:r>
      <w:r>
        <w:t xml:space="preserve">shows that the most frequent category was 2-3 times a week.</w:t>
      </w:r>
    </w:p>
    <w:tbl>
      <w:tblPr>
        <w:tblStyle w:val="Table"/>
        <w:tblW w:type="pct" w:w="5000"/>
        <w:tblLook w:firstRow="0" w:lastRow="0" w:firstColumn="0" w:lastColumn="0" w:noHBand="0" w:noVBand="0" w:val="0000"/>
        <w:jc w:val="start"/>
      </w:tblPr>
      <w:tblGrid>
        <w:gridCol w:w="7920"/>
      </w:tblGrid>
      <w:tr>
        <w:tc>
          <w:tcPr/>
          <w:bookmarkStart w:id="36" w:name="fig-analysis-frequency"/>
          <w:p>
            <w:pPr>
              <w:jc w:val="center"/>
            </w:pPr>
            <w:r>
              <w:drawing>
                <wp:inline>
                  <wp:extent cx="4620126" cy="3696101"/>
                  <wp:effectExtent b="0" l="0" r="0" t="0"/>
                  <wp:docPr descr="" title="" id="34" name="Picture"/>
                  <a:graphic>
                    <a:graphicData uri="http://schemas.openxmlformats.org/drawingml/2006/picture">
                      <pic:pic>
                        <pic:nvPicPr>
                          <pic:cNvPr descr="multi100_results_files/figure-docx/fig-analysis-frequency-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The figure shows how regularly the analysts perform data analysis.</w:t>
            </w:r>
          </w:p>
          <w:bookmarkEnd w:id="36"/>
        </w:tc>
      </w:tr>
    </w:tbl>
    <w:p>
      <w:pPr>
        <w:pStyle w:val="BodyText"/>
      </w:pPr>
      <w:r>
        <w:t xml:space="preserve">We also asked them how they rated their level of expertise in data analysis between Beginner (1) and Expert (10). The distribution on</w:t>
      </w:r>
      <w:r>
        <w:t xml:space="preserve"> </w:t>
      </w:r>
      <w:hyperlink w:anchor="fig-self-rating-plot">
        <w:r>
          <w:rPr>
            <w:rStyle w:val="Hyperlink"/>
          </w:rPr>
          <w:t xml:space="preserve">Figure 5</w:t>
        </w:r>
      </w:hyperlink>
      <w:r>
        <w:t xml:space="preserve"> </w:t>
      </w:r>
      <w:r>
        <w:t xml:space="preserve">shows that the most prevalent answer was 8 .</w:t>
      </w:r>
    </w:p>
    <w:tbl>
      <w:tblPr>
        <w:tblStyle w:val="Table"/>
        <w:tblW w:type="pct" w:w="5000"/>
        <w:tblLook w:firstRow="0" w:lastRow="0" w:firstColumn="0" w:lastColumn="0" w:noHBand="0" w:noVBand="0" w:val="0000"/>
        <w:jc w:val="start"/>
      </w:tblPr>
      <w:tblGrid>
        <w:gridCol w:w="7920"/>
      </w:tblGrid>
      <w:tr>
        <w:tc>
          <w:tcPr/>
          <w:bookmarkStart w:id="40" w:name="fig-self-rating-plot"/>
          <w:p>
            <w:pPr>
              <w:jc w:val="center"/>
            </w:pPr>
            <w:r>
              <w:drawing>
                <wp:inline>
                  <wp:extent cx="4620126" cy="3696101"/>
                  <wp:effectExtent b="0" l="0" r="0" t="0"/>
                  <wp:docPr descr="" title="" id="38" name="Picture"/>
                  <a:graphic>
                    <a:graphicData uri="http://schemas.openxmlformats.org/drawingml/2006/picture">
                      <pic:pic>
                        <pic:nvPicPr>
                          <pic:cNvPr descr="multi100_results_files/figure-docx/fig-self-rating-plot-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The figure shows the analysts’ self-rated level of expertise in data analysis. When an analyst submitted more than one re-analysis we only kept their first response.</w:t>
            </w:r>
          </w:p>
          <w:bookmarkEnd w:id="40"/>
        </w:tc>
      </w:tr>
    </w:tbl>
    <w:p>
      <w:pPr>
        <w:pStyle w:val="BodyText"/>
      </w:pPr>
      <w:r>
        <w:t xml:space="preserve">In 8.13 % (41 out of 504) of the cases, the co-analysts were familiar with the paper that the provided dataset belongs to before beginning their work on the project.</w:t>
      </w:r>
    </w:p>
    <w:p>
      <w:pPr>
        <w:pStyle w:val="BodyText"/>
      </w:pPr>
      <w:r>
        <w:t xml:space="preserve">All co-analyst reported that they have not communicated about the details of their analysis with other co-analysts working with the same dataset.</w:t>
      </w:r>
    </w:p>
    <w:p>
      <w:pPr>
        <w:pStyle w:val="BodyText"/>
      </w:pPr>
      <w:r>
        <w:t xml:space="preserve">We asked the co-analysts what programming language/software/tool they used in their data analysis during Task 1 and Task 2. The following figure indicates that R (62.53%), STATA (16.86%), and SPSS (7.02%) were the most popular responses.</w:t>
      </w:r>
      <w:r>
        <w:t xml:space="preserve"> </w:t>
      </w:r>
      <w:hyperlink w:anchor="fig-software">
        <w:r>
          <w:rPr>
            <w:rStyle w:val="Hyperlink"/>
          </w:rPr>
          <w:t xml:space="preserve">Figure 6</w:t>
        </w:r>
      </w:hyperlink>
      <w:r>
        <w:t xml:space="preserve"> </w:t>
      </w:r>
      <w:r>
        <w:t xml:space="preserve">shows the distribution of these responses.</w:t>
      </w:r>
    </w:p>
    <w:tbl>
      <w:tblPr>
        <w:tblStyle w:val="Table"/>
        <w:tblW w:type="pct" w:w="5000"/>
        <w:tblLook w:firstRow="0" w:lastRow="0" w:firstColumn="0" w:lastColumn="0" w:noHBand="0" w:noVBand="0" w:val="0000"/>
        <w:jc w:val="start"/>
      </w:tblPr>
      <w:tblGrid>
        <w:gridCol w:w="7920"/>
      </w:tblGrid>
      <w:tr>
        <w:tc>
          <w:tcPr/>
          <w:bookmarkStart w:id="44" w:name="fig-software"/>
          <w:p>
            <w:pPr>
              <w:jc w:val="center"/>
            </w:pPr>
            <w:r>
              <w:drawing>
                <wp:inline>
                  <wp:extent cx="4620126" cy="3696101"/>
                  <wp:effectExtent b="0" l="0" r="0" t="0"/>
                  <wp:docPr descr="" title="" id="42" name="Picture"/>
                  <a:graphic>
                    <a:graphicData uri="http://schemas.openxmlformats.org/drawingml/2006/picture">
                      <pic:pic>
                        <pic:nvPicPr>
                          <pic:cNvPr descr="multi100_results_files/figure-docx/fig-software-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The figure shows which software the analysts used for their re-analysis tasks. In case an analyst completed multiple re-analyses or reported the use of multiple software we kept all their responses for this figure. The figure shows only software that was used by more than 1% of the analysts.</w:t>
            </w:r>
          </w:p>
          <w:bookmarkEnd w:id="44"/>
        </w:tc>
      </w:tr>
    </w:tbl>
    <w:bookmarkEnd w:id="45"/>
    <w:bookmarkStart w:id="50" w:name="descriptives-of-the-statistical-analyses"/>
    <w:p>
      <w:pPr>
        <w:pStyle w:val="Heading2"/>
      </w:pPr>
      <w:r>
        <w:t xml:space="preserve">Descriptives of the statistical analyses</w:t>
      </w:r>
    </w:p>
    <w:p>
      <w:pPr>
        <w:pStyle w:val="FirstParagraph"/>
      </w:pPr>
      <w:r>
        <w:t xml:space="preserve">A difference in Task 2 compared to Task 1 was that the co-analysts received some constraints for their analysis to make their result comparable to a single result in the original study (see Methods for more details).</w:t>
      </w:r>
    </w:p>
    <w:p>
      <w:pPr>
        <w:pStyle w:val="BodyText"/>
      </w:pPr>
      <w:r>
        <w:t xml:space="preserve">In Task 2, when we asked the co-analysts to present one main statistical result, in 97.62% of the analyses (492 out of 504), conclusion was based on the p-value. Bayes Factor was used in 2.38% of the cases (12 out of 504).</w:t>
      </w:r>
    </w:p>
    <w:p>
      <w:pPr>
        <w:pStyle w:val="BodyText"/>
      </w:pPr>
      <w:r>
        <w:t xml:space="preserve">For 47.82 % (241 out of 504) of the analyses, the co-analysts reported having to make additional calculations in Task 2 compared to Task 1. In the remaining 52.18% (263 out of 504) of the cases, the co-analysts indicated that despite the requirements of the instructions, they could conduct the same analyses as in Task 1.</w:t>
      </w:r>
    </w:p>
    <w:p>
      <w:pPr>
        <w:pStyle w:val="BodyText"/>
      </w:pPr>
      <w:r>
        <w:t xml:space="preserve">In Task 2, 12.7% of the results (64 out of 504) were in the opposite direction as claimed by the original study, disregarding whether the effect was conclusive/significant.</w:t>
      </w:r>
    </w:p>
    <w:p>
      <w:pPr>
        <w:pStyle w:val="BodyText"/>
      </w:pPr>
      <w:r>
        <w:t xml:space="preserve">The co-analysts were asked to estimate the time they spent performing Task 1 and Task 2 together. The median value of their response is 6 hours (</w:t>
      </w:r>
      <w:hyperlink w:anchor="fig-total-hours">
        <w:r>
          <w:rPr>
            <w:rStyle w:val="Hyperlink"/>
          </w:rPr>
          <w:t xml:space="preserve">Figure 7</w:t>
        </w:r>
      </w:hyperlink>
      <w:r>
        <w:t xml:space="preserve">).</w:t>
      </w:r>
    </w:p>
    <w:tbl>
      <w:tblPr>
        <w:tblStyle w:val="Table"/>
        <w:tblW w:type="pct" w:w="5000"/>
        <w:tblLook w:firstRow="0" w:lastRow="0" w:firstColumn="0" w:lastColumn="0" w:noHBand="0" w:noVBand="0" w:val="0000"/>
        <w:jc w:val="start"/>
      </w:tblPr>
      <w:tblGrid>
        <w:gridCol w:w="7920"/>
      </w:tblGrid>
      <w:tr>
        <w:tc>
          <w:tcPr/>
          <w:bookmarkStart w:id="49" w:name="fig-total-hours"/>
          <w:p>
            <w:pPr>
              <w:jc w:val="center"/>
            </w:pPr>
            <w:r>
              <w:drawing>
                <wp:inline>
                  <wp:extent cx="4620126" cy="3696101"/>
                  <wp:effectExtent b="0" l="0" r="0" t="0"/>
                  <wp:docPr descr="" title="" id="47" name="Picture"/>
                  <a:graphic>
                    <a:graphicData uri="http://schemas.openxmlformats.org/drawingml/2006/picture">
                      <pic:pic>
                        <pic:nvPicPr>
                          <pic:cNvPr descr="multi100_results_files/figure-docx/fig-total-hours-1.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The figure shows the reported total hours the analyst spent on Task 1 and Task 2 together. In case an analyst completed multiple re-analyses, we kept all their responses for this figure. One response was excluded due to being an outlier (999 hours).</w:t>
            </w:r>
          </w:p>
          <w:bookmarkEnd w:id="49"/>
        </w:tc>
      </w:tr>
    </w:tbl>
    <w:p>
      <w:pPr>
        <w:pStyle w:val="SourceCode"/>
      </w:pPr>
      <w:r>
        <w:rPr>
          <w:rStyle w:val="NormalTok"/>
        </w:rPr>
        <w:t xml:space="preserve">same_test_family </w:t>
      </w:r>
      <w:r>
        <w:rPr>
          <w:rStyle w:val="OtherTok"/>
        </w:rPr>
        <w:t xml:space="preserve">&lt;-</w:t>
      </w:r>
      <w:r>
        <w:br/>
      </w:r>
      <w:r>
        <w:rPr>
          <w:rStyle w:val="NormalTok"/>
        </w:rPr>
        <w:t xml:space="preserve">  processed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simplified_paper_id,</w:t>
      </w:r>
      <w:r>
        <w:br/>
      </w:r>
      <w:r>
        <w:rPr>
          <w:rStyle w:val="NormalTok"/>
        </w:rPr>
        <w:t xml:space="preserve">    analyst_id,</w:t>
      </w:r>
      <w:r>
        <w:br/>
      </w:r>
      <w:r>
        <w:rPr>
          <w:rStyle w:val="NormalTok"/>
        </w:rPr>
        <w:t xml:space="preserve">    reanalysis_type_of_statistic,</w:t>
      </w:r>
      <w:r>
        <w:br/>
      </w:r>
      <w:r>
        <w:rPr>
          <w:rStyle w:val="NormalTok"/>
        </w:rPr>
        <w:t xml:space="preserve">    reanalysis_statistic_report</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(reanalysis_statistic_report)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(reanalysis_type_of_statistic))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reanalysis_statistic_report =</w:t>
      </w:r>
      <w:r>
        <w:rPr>
          <w:rStyle w:val="NormalTok"/>
        </w:rPr>
        <w:t xml:space="preserve"> </w:t>
      </w:r>
      <w:r>
        <w:rPr>
          <w:rStyle w:val="FunctionTok"/>
        </w:rPr>
        <w:t xml:space="preserve">round</w:t>
      </w:r>
      <w:r>
        <w:rPr>
          <w:rStyle w:val="NormalTok"/>
        </w:rPr>
        <w:t xml:space="preserve">(reanalysis_statistic_report, </w:t>
      </w:r>
      <w:r>
        <w:rPr>
          <w:rStyle w:val="DecValTok"/>
        </w:rPr>
        <w:t xml:space="preserve">2</w:t>
      </w:r>
      <w:r>
        <w:rPr>
          <w:rStyle w:val="NormalTok"/>
        </w:rPr>
        <w:t xml:space="preserve">),</w:t>
      </w:r>
      <w:r>
        <w:br/>
      </w:r>
      <w:r>
        <w:rPr>
          <w:rStyle w:val="NormalTok"/>
        </w:rPr>
        <w:t xml:space="preserve">    </w:t>
      </w:r>
      <w:r>
        <w:rPr>
          <w:rStyle w:val="AttributeTok"/>
        </w:rPr>
        <w:t xml:space="preserve">reanalysis_statistic =</w:t>
      </w:r>
      <w:r>
        <w:rPr>
          <w:rStyle w:val="NormalTok"/>
        </w:rPr>
        <w:t xml:space="preserve"> </w:t>
      </w:r>
      <w:r>
        <w:rPr>
          <w:rStyle w:val="FunctionTok"/>
        </w:rPr>
        <w:t xml:space="preserve">interaction</w:t>
      </w:r>
      <w:r>
        <w:rPr>
          <w:rStyle w:val="NormalTok"/>
        </w:rPr>
        <w:t xml:space="preserve">(reanalysis_type_of_statistic, reanalysis_statistic_report)</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group_by</w:t>
      </w:r>
      <w:r>
        <w:rPr>
          <w:rStyle w:val="NormalTok"/>
        </w:rPr>
        <w:t xml:space="preserve">(simplified_paper_id, reanalysis_statistic) </w:t>
      </w:r>
      <w:r>
        <w:rPr>
          <w:rStyle w:val="SpecialCharTok"/>
        </w:rPr>
        <w:t xml:space="preserve">|&gt;</w:t>
      </w:r>
      <w:r>
        <w:br/>
      </w:r>
      <w:r>
        <w:rPr>
          <w:rStyle w:val="NormalTok"/>
        </w:rPr>
        <w:t xml:space="preserve">  dplyr</w:t>
      </w:r>
      <w:r>
        <w:rPr>
          <w:rStyle w:val="SpecialCharTok"/>
        </w:rPr>
        <w:t xml:space="preserve">::</w:t>
      </w:r>
      <w:r>
        <w:rPr>
          <w:rStyle w:val="FunctionTok"/>
        </w:rPr>
        <w:t xml:space="preserve">summarise</w:t>
      </w:r>
      <w:r>
        <w:rPr>
          <w:rStyle w:val="NormalTok"/>
        </w:rPr>
        <w:t xml:space="preserve">(</w:t>
      </w:r>
      <w:r>
        <w:br/>
      </w:r>
      <w:r>
        <w:rPr>
          <w:rStyle w:val="NormalTok"/>
        </w:rPr>
        <w:t xml:space="preserve">    </w:t>
      </w:r>
      <w:r>
        <w:rPr>
          <w:rStyle w:val="AttributeTok"/>
        </w:rPr>
        <w:t xml:space="preserve">pair_count =</w:t>
      </w:r>
      <w:r>
        <w:rPr>
          <w:rStyle w:val="NormalTok"/>
        </w:rPr>
        <w:t xml:space="preserve"> </w:t>
      </w:r>
      <w:r>
        <w:rPr>
          <w:rStyle w:val="FunctionTok"/>
        </w:rPr>
        <w:t xml:space="preserve">n</w:t>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is_unique =</w:t>
      </w:r>
      <w:r>
        <w:rPr>
          <w:rStyle w:val="NormalTok"/>
        </w:rPr>
        <w:t xml:space="preserve"> (pair_count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group_by</w:t>
      </w:r>
      <w:r>
        <w:rPr>
          <w:rStyle w:val="NormalTok"/>
        </w:rPr>
        <w:t xml:space="preserve">(simplified_paper_id, is_unique) </w:t>
      </w:r>
      <w:r>
        <w:rPr>
          <w:rStyle w:val="SpecialCharTok"/>
        </w:rPr>
        <w:t xml:space="preserve">|&gt;</w:t>
      </w:r>
      <w:r>
        <w:br/>
      </w:r>
      <w:r>
        <w:rPr>
          <w:rStyle w:val="NormalTok"/>
        </w:rPr>
        <w:t xml:space="preserve">  dplyr</w:t>
      </w:r>
      <w:r>
        <w:rPr>
          <w:rStyle w:val="SpecialCharTok"/>
        </w:rPr>
        <w:t xml:space="preserve">::</w:t>
      </w:r>
      <w:r>
        <w:rPr>
          <w:rStyle w:val="FunctionTok"/>
        </w:rPr>
        <w:t xml:space="preserve">summarise</w:t>
      </w:r>
      <w:r>
        <w:rPr>
          <w:rStyle w:val="NormalTok"/>
        </w:rPr>
        <w:t xml:space="preserve">(</w:t>
      </w:r>
      <w:r>
        <w:br/>
      </w:r>
      <w:r>
        <w:rPr>
          <w:rStyle w:val="NormalTok"/>
        </w:rPr>
        <w:t xml:space="preserve">    </w:t>
      </w:r>
      <w:r>
        <w:rPr>
          <w:rStyle w:val="AttributeTok"/>
        </w:rPr>
        <w:t xml:space="preserve">total =</w:t>
      </w:r>
      <w:r>
        <w:rPr>
          <w:rStyle w:val="NormalTok"/>
        </w:rPr>
        <w:t xml:space="preserve"> </w:t>
      </w:r>
      <w:r>
        <w:rPr>
          <w:rStyle w:val="FunctionTok"/>
        </w:rPr>
        <w:t xml:space="preserve">sum</w:t>
      </w:r>
      <w:r>
        <w:rPr>
          <w:rStyle w:val="NormalTok"/>
        </w:rPr>
        <w:t xml:space="preserve">(pair_count), </w:t>
      </w:r>
      <w:r>
        <w:rPr>
          <w:rStyle w:val="AttributeTok"/>
        </w:rPr>
        <w:t xml:space="preserve">.groups =</w:t>
      </w:r>
      <w:r>
        <w:rPr>
          <w:rStyle w:val="NormalTok"/>
        </w:rPr>
        <w:t xml:space="preserve"> </w:t>
      </w:r>
      <w:r>
        <w:rPr>
          <w:rStyle w:val="StringTok"/>
        </w:rPr>
        <w:t xml:space="preserve">'drop'</w:t>
      </w:r>
      <w:r>
        <w:br/>
      </w:r>
      <w:r>
        <w:rPr>
          <w:rStyle w:val="NormalTok"/>
        </w:rPr>
        <w:t xml:space="preserve">  ) </w:t>
      </w:r>
      <w:r>
        <w:rPr>
          <w:rStyle w:val="SpecialCharTok"/>
        </w:rPr>
        <w:t xml:space="preserve">|&gt;</w:t>
      </w:r>
      <w:r>
        <w:rPr>
          <w:rStyle w:val="NormalTok"/>
        </w:rPr>
        <w:t xml:space="preserve"> </w:t>
      </w:r>
      <w:r>
        <w:br/>
      </w:r>
      <w:r>
        <w:rPr>
          <w:rStyle w:val="NormalTok"/>
        </w:rPr>
        <w:t xml:space="preserve">   tidyr</w:t>
      </w:r>
      <w:r>
        <w:rPr>
          <w:rStyle w:val="SpecialCharTok"/>
        </w:rPr>
        <w:t xml:space="preserve">::</w:t>
      </w:r>
      <w:r>
        <w:rPr>
          <w:rStyle w:val="FunctionTok"/>
        </w:rPr>
        <w:t xml:space="preserve">complete</w:t>
      </w:r>
      <w:r>
        <w:rPr>
          <w:rStyle w:val="NormalTok"/>
        </w:rPr>
        <w:t xml:space="preserve">(</w:t>
      </w:r>
      <w:r>
        <w:br/>
      </w:r>
      <w:r>
        <w:rPr>
          <w:rStyle w:val="NormalTok"/>
        </w:rPr>
        <w:t xml:space="preserve">    simplified_paper_id, is_unique,</w:t>
      </w:r>
      <w:r>
        <w:br/>
      </w:r>
      <w:r>
        <w:rPr>
          <w:rStyle w:val="NormalTok"/>
        </w:rPr>
        <w:t xml:space="preserve">    </w:t>
      </w:r>
      <w:r>
        <w:rPr>
          <w:rStyle w:val="AttributeTok"/>
        </w:rPr>
        <w:t xml:space="preserve">fill =</w:t>
      </w:r>
      <w:r>
        <w:rPr>
          <w:rStyle w:val="NormalTok"/>
        </w:rPr>
        <w:t xml:space="preserve"> </w:t>
      </w:r>
      <w:r>
        <w:rPr>
          <w:rStyle w:val="FunctionTok"/>
        </w:rPr>
        <w:t xml:space="preserve">list</w:t>
      </w:r>
      <w:r>
        <w:rPr>
          <w:rStyle w:val="NormalTok"/>
        </w:rPr>
        <w:t xml:space="preserve">(</w:t>
      </w:r>
      <w:r>
        <w:rPr>
          <w:rStyle w:val="AttributeTok"/>
        </w:rPr>
        <w:t xml:space="preserve">total =</w:t>
      </w:r>
      <w:r>
        <w:rPr>
          <w:rStyle w:val="NormalTok"/>
        </w:rPr>
        <w:t xml:space="preserve"> </w:t>
      </w:r>
      <w:r>
        <w:rPr>
          <w:rStyle w:val="DecValTok"/>
        </w:rPr>
        <w:t xml:space="preserve">0</w:t>
      </w:r>
      <w:r>
        <w:rPr>
          <w:rStyle w:val="NormalTok"/>
        </w:rPr>
        <w:t xml:space="preserve">)</w:t>
      </w:r>
      <w:r>
        <w:br/>
      </w:r>
      <w:r>
        <w:rPr>
          <w:rStyle w:val="NormalTok"/>
        </w:rPr>
        <w:t xml:space="preserve">  )</w:t>
      </w:r>
      <w:r>
        <w:br/>
      </w:r>
      <w:r>
        <w:br/>
      </w:r>
      <w:r>
        <w:rPr>
          <w:rStyle w:val="NormalTok"/>
        </w:rPr>
        <w:t xml:space="preserve">proportion_unique_analysis </w:t>
      </w:r>
      <w:r>
        <w:rPr>
          <w:rStyle w:val="OtherTok"/>
        </w:rPr>
        <w:t xml:space="preserve">&lt;-</w:t>
      </w:r>
      <w:r>
        <w:br/>
      </w:r>
      <w:r>
        <w:rPr>
          <w:rStyle w:val="NormalTok"/>
        </w:rPr>
        <w:t xml:space="preserve">  same_test_family </w:t>
      </w:r>
      <w:r>
        <w:rPr>
          <w:rStyle w:val="SpecialCharTok"/>
        </w:rPr>
        <w:t xml:space="preserve">|&gt;</w:t>
      </w:r>
      <w:r>
        <w:br/>
      </w:r>
      <w:r>
        <w:rPr>
          <w:rStyle w:val="NormalTok"/>
        </w:rPr>
        <w:t xml:space="preserve">  dplyr</w:t>
      </w:r>
      <w:r>
        <w:rPr>
          <w:rStyle w:val="SpecialCharTok"/>
        </w:rPr>
        <w:t xml:space="preserve">::</w:t>
      </w:r>
      <w:r>
        <w:rPr>
          <w:rStyle w:val="FunctionTok"/>
        </w:rPr>
        <w:t xml:space="preserve">group_by</w:t>
      </w:r>
      <w:r>
        <w:rPr>
          <w:rStyle w:val="NormalTok"/>
        </w:rPr>
        <w:t xml:space="preserve">(is_unique) </w:t>
      </w:r>
      <w:r>
        <w:rPr>
          <w:rStyle w:val="SpecialCharTok"/>
        </w:rPr>
        <w:t xml:space="preserve">|&gt;</w:t>
      </w:r>
      <w:r>
        <w:br/>
      </w:r>
      <w:r>
        <w:rPr>
          <w:rStyle w:val="NormalTok"/>
        </w:rPr>
        <w:t xml:space="preserve">  dplyr</w:t>
      </w:r>
      <w:r>
        <w:rPr>
          <w:rStyle w:val="SpecialCharTok"/>
        </w:rPr>
        <w:t xml:space="preserve">::</w:t>
      </w:r>
      <w:r>
        <w:rPr>
          <w:rStyle w:val="FunctionTok"/>
        </w:rPr>
        <w:t xml:space="preserve">summarise</w:t>
      </w:r>
      <w:r>
        <w:rPr>
          <w:rStyle w:val="NormalTok"/>
        </w:rPr>
        <w:t xml:space="preserve">(</w:t>
      </w:r>
      <w:r>
        <w:rPr>
          <w:rStyle w:val="AttributeTok"/>
        </w:rPr>
        <w:t xml:space="preserve">grand_total =</w:t>
      </w:r>
      <w:r>
        <w:rPr>
          <w:rStyle w:val="NormalTok"/>
        </w:rPr>
        <w:t xml:space="preserve"> </w:t>
      </w:r>
      <w:r>
        <w:rPr>
          <w:rStyle w:val="FunctionTok"/>
        </w:rPr>
        <w:t xml:space="preserve">sum</w:t>
      </w:r>
      <w:r>
        <w:rPr>
          <w:rStyle w:val="NormalTok"/>
        </w:rPr>
        <w:t xml:space="preserve">(total),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total_count =</w:t>
      </w:r>
      <w:r>
        <w:rPr>
          <w:rStyle w:val="NormalTok"/>
        </w:rPr>
        <w:t xml:space="preserve"> </w:t>
      </w:r>
      <w:r>
        <w:rPr>
          <w:rStyle w:val="FunctionTok"/>
        </w:rPr>
        <w:t xml:space="preserve">sum</w:t>
      </w:r>
      <w:r>
        <w:rPr>
          <w:rStyle w:val="NormalTok"/>
        </w:rPr>
        <w:t xml:space="preserve">(grand_total),</w:t>
      </w:r>
      <w:r>
        <w:br/>
      </w:r>
      <w:r>
        <w:rPr>
          <w:rStyle w:val="NormalTok"/>
        </w:rPr>
        <w:t xml:space="preserve">                </w:t>
      </w:r>
      <w:r>
        <w:rPr>
          <w:rStyle w:val="AttributeTok"/>
        </w:rPr>
        <w:t xml:space="preserve">percentage =</w:t>
      </w:r>
      <w:r>
        <w:rPr>
          <w:rStyle w:val="NormalTok"/>
        </w:rPr>
        <w:t xml:space="preserve"> </w:t>
      </w:r>
      <w:r>
        <w:rPr>
          <w:rStyle w:val="FunctionTok"/>
        </w:rPr>
        <w:t xml:space="preserve">round</w:t>
      </w:r>
      <w:r>
        <w:rPr>
          <w:rStyle w:val="NormalTok"/>
        </w:rPr>
        <w:t xml:space="preserve">(grand_total </w:t>
      </w:r>
      <w:r>
        <w:rPr>
          <w:rStyle w:val="SpecialCharTok"/>
        </w:rPr>
        <w:t xml:space="preserve">/</w:t>
      </w:r>
      <w:r>
        <w:rPr>
          <w:rStyle w:val="NormalTok"/>
        </w:rPr>
        <w:t xml:space="preserve"> total_count </w:t>
      </w:r>
      <w:r>
        <w:rPr>
          <w:rStyle w:val="SpecialCharTok"/>
        </w:rPr>
        <w:t xml:space="preserve">*</w:t>
      </w:r>
      <w:r>
        <w:rPr>
          <w:rStyle w:val="NormalTok"/>
        </w:rPr>
        <w:t xml:space="preserve"> </w:t>
      </w:r>
      <w:r>
        <w:rPr>
          <w:rStyle w:val="DecValTok"/>
        </w:rPr>
        <w:t xml:space="preserve">100</w:t>
      </w:r>
      <w:r>
        <w:rPr>
          <w:rStyle w:val="NormalTok"/>
        </w:rPr>
        <w:t xml:space="preserve">))</w:t>
      </w:r>
      <w:r>
        <w:br/>
      </w:r>
      <w:r>
        <w:br/>
      </w:r>
      <w:r>
        <w:rPr>
          <w:rStyle w:val="NormalTok"/>
        </w:rPr>
        <w:t xml:space="preserve">proportion_unique_paper </w:t>
      </w:r>
      <w:r>
        <w:rPr>
          <w:rStyle w:val="OtherTok"/>
        </w:rPr>
        <w:t xml:space="preserve">&lt;-</w:t>
      </w:r>
      <w:r>
        <w:br/>
      </w:r>
      <w:r>
        <w:rPr>
          <w:rStyle w:val="NormalTok"/>
        </w:rPr>
        <w:t xml:space="preserve">  same_test_family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group_by</w:t>
      </w:r>
      <w:r>
        <w:rPr>
          <w:rStyle w:val="NormalTok"/>
        </w:rPr>
        <w:t xml:space="preserve">(simplified_paper_id) </w:t>
      </w:r>
      <w:r>
        <w:rPr>
          <w:rStyle w:val="SpecialCharTok"/>
        </w:rPr>
        <w:t xml:space="preserve">|&gt;</w:t>
      </w:r>
      <w:r>
        <w:br/>
      </w:r>
      <w:r>
        <w:rPr>
          <w:rStyle w:val="NormalTok"/>
        </w:rPr>
        <w:t xml:space="preserve">  dplyr</w:t>
      </w:r>
      <w:r>
        <w:rPr>
          <w:rStyle w:val="SpecialCharTok"/>
        </w:rPr>
        <w:t xml:space="preserve">::</w:t>
      </w:r>
      <w:r>
        <w:rPr>
          <w:rStyle w:val="FunctionTok"/>
        </w:rPr>
        <w:t xml:space="preserve">summarise</w:t>
      </w:r>
      <w:r>
        <w:rPr>
          <w:rStyle w:val="NormalTok"/>
        </w:rPr>
        <w:t xml:space="preserve">(</w:t>
      </w:r>
      <w:r>
        <w:br/>
      </w:r>
      <w:r>
        <w:rPr>
          <w:rStyle w:val="NormalTok"/>
        </w:rPr>
        <w:t xml:space="preserve">    </w:t>
      </w:r>
      <w:r>
        <w:rPr>
          <w:rStyle w:val="AttributeTok"/>
        </w:rPr>
        <w:t xml:space="preserve">has_non_unique =</w:t>
      </w:r>
      <w:r>
        <w:rPr>
          <w:rStyle w:val="NormalTok"/>
        </w:rPr>
        <w:t xml:space="preserve"> </w:t>
      </w:r>
      <w:r>
        <w:rPr>
          <w:rStyle w:val="FunctionTok"/>
        </w:rPr>
        <w:t xml:space="preserve">sum</w:t>
      </w:r>
      <w:r>
        <w:rPr>
          <w:rStyle w:val="NormalTok"/>
        </w:rPr>
        <w:t xml:space="preserve">(total[</w:t>
      </w:r>
      <w:r>
        <w:rPr>
          <w:rStyle w:val="SpecialCharTok"/>
        </w:rPr>
        <w:t xml:space="preserve">!</w:t>
      </w:r>
      <w:r>
        <w:rPr>
          <w:rStyle w:val="NormalTok"/>
        </w:rPr>
        <w:t xml:space="preserve">is_unique] </w:t>
      </w:r>
      <w:r>
        <w:rPr>
          <w:rStyle w:val="SpecialCharTok"/>
        </w:rPr>
        <w:t xml:space="preserve">&gt;</w:t>
      </w:r>
      <w:r>
        <w:rPr>
          <w:rStyle w:val="NormalTok"/>
        </w:rPr>
        <w:t xml:space="preserve"> </w:t>
      </w:r>
      <w:r>
        <w:rPr>
          <w:rStyle w:val="DecValTok"/>
        </w:rPr>
        <w:t xml:space="preserve">0</w:t>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summarise</w:t>
      </w:r>
      <w:r>
        <w:rPr>
          <w:rStyle w:val="NormalTok"/>
        </w:rPr>
        <w:t xml:space="preserve">(</w:t>
      </w:r>
      <w:r>
        <w:br/>
      </w:r>
      <w:r>
        <w:rPr>
          <w:rStyle w:val="NormalTok"/>
        </w:rPr>
        <w:t xml:space="preserve">    </w:t>
      </w:r>
      <w:r>
        <w:rPr>
          <w:rStyle w:val="AttributeTok"/>
        </w:rPr>
        <w:t xml:space="preserve">percentage_all_unique =</w:t>
      </w:r>
      <w:r>
        <w:rPr>
          <w:rStyle w:val="NormalTok"/>
        </w:rPr>
        <w:t xml:space="preserve"> </w:t>
      </w:r>
      <w:r>
        <w:rPr>
          <w:rStyle w:val="FunctionTok"/>
        </w:rPr>
        <w:t xml:space="preserve">round</w:t>
      </w:r>
      <w:r>
        <w:rPr>
          <w:rStyle w:val="NormalTok"/>
        </w:rPr>
        <w:t xml:space="preserve">(</w:t>
      </w:r>
      <w:r>
        <w:rPr>
          <w:rStyle w:val="FunctionTok"/>
        </w:rPr>
        <w:t xml:space="preserve">mean</w:t>
      </w:r>
      <w:r>
        <w:rPr>
          <w:rStyle w:val="NormalTok"/>
        </w:rPr>
        <w:t xml:space="preserve">(has_non_unique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2</w:t>
      </w:r>
      <w:r>
        <w:rPr>
          <w:rStyle w:val="NormalTok"/>
        </w:rPr>
        <w:t xml:space="preserve">)</w:t>
      </w:r>
      <w:r>
        <w:br/>
      </w:r>
      <w:r>
        <w:rPr>
          <w:rStyle w:val="NormalTok"/>
        </w:rPr>
        <w:t xml:space="preserve">  )</w:t>
      </w:r>
    </w:p>
    <w:p>
      <w:pPr>
        <w:pStyle w:val="FirstParagraph"/>
      </w:pPr>
      <w:r>
        <w:t xml:space="preserve">In Task 2 91% of the co-analyst used unique analytical pipelines based on the statistical test family and the value of the test statistics they arrived at. In total 82% of the papers had completely unique reanalysis attempts.</w:t>
      </w:r>
    </w:p>
    <w:bookmarkEnd w:id="50"/>
    <w:bookmarkStart w:id="67" w:name="peer-evaluation"/>
    <w:p>
      <w:pPr>
        <w:pStyle w:val="Heading2"/>
      </w:pPr>
      <w:r>
        <w:t xml:space="preserve">Peer evaluation</w:t>
      </w:r>
    </w:p>
    <w:bookmarkStart w:id="64" w:name="peer-evaluators"/>
    <w:p>
      <w:pPr>
        <w:pStyle w:val="Heading3"/>
      </w:pPr>
      <w:r>
        <w:t xml:space="preserve">Peer evaluators</w:t>
      </w:r>
    </w:p>
    <w:bookmarkStart w:id="63" w:name="Xb3ae8a7203a65a5c3164fe06b8f5819a9169b6e"/>
    <w:p>
      <w:pPr>
        <w:pStyle w:val="Heading4"/>
      </w:pPr>
      <w:r>
        <w:t xml:space="preserve">Basic demographics of the peer evaluators</w:t>
      </w:r>
    </w:p>
    <w:p>
      <w:pPr>
        <w:pStyle w:val="FirstParagraph"/>
      </w:pPr>
      <w:hyperlink w:anchor="fig-evaluator-years">
        <w:r>
          <w:rPr>
            <w:rStyle w:val="Hyperlink"/>
          </w:rPr>
          <w:t xml:space="preserve">Figure 8</w:t>
        </w:r>
      </w:hyperlink>
      <w:r>
        <w:t xml:space="preserve"> </w:t>
      </w:r>
      <w:r>
        <w:t xml:space="preserve">shows that most peer evaluators have many years of experience with conducting statistical analysis.</w:t>
      </w:r>
    </w:p>
    <w:tbl>
      <w:tblPr>
        <w:tblStyle w:val="Table"/>
        <w:tblW w:type="pct" w:w="5000"/>
        <w:tblLook w:firstRow="0" w:lastRow="0" w:firstColumn="0" w:lastColumn="0" w:noHBand="0" w:noVBand="0" w:val="0000"/>
        <w:jc w:val="start"/>
      </w:tblPr>
      <w:tblGrid>
        <w:gridCol w:w="7920"/>
      </w:tblGrid>
      <w:tr>
        <w:tc>
          <w:tcPr/>
          <w:bookmarkStart w:id="54" w:name="fig-evaluator-years"/>
          <w:p>
            <w:pPr>
              <w:jc w:val="center"/>
            </w:pPr>
            <w:r>
              <w:drawing>
                <wp:inline>
                  <wp:extent cx="4620126" cy="3696101"/>
                  <wp:effectExtent b="0" l="0" r="0" t="0"/>
                  <wp:docPr descr="" title="" id="52" name="Picture"/>
                  <a:graphic>
                    <a:graphicData uri="http://schemas.openxmlformats.org/drawingml/2006/picture">
                      <pic:pic>
                        <pic:nvPicPr>
                          <pic:cNvPr descr="multi100_results_files/figure-docx/fig-evaluator-years-1.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The figure shows the peer evaluators’ years of experience with data analysis. When a peer evaluator submitted more than one evaluation and a year passed between the responses, we kept only their first response.</w:t>
            </w:r>
          </w:p>
          <w:bookmarkEnd w:id="54"/>
        </w:tc>
      </w:tr>
    </w:tbl>
    <w:p>
      <w:pPr>
        <w:pStyle w:val="BodyText"/>
      </w:pPr>
      <w:hyperlink w:anchor="fig-evaluator-analysis-frequency">
        <w:r>
          <w:rPr>
            <w:rStyle w:val="Hyperlink"/>
          </w:rPr>
          <w:t xml:space="preserve">Figure 9</w:t>
        </w:r>
      </w:hyperlink>
      <w:r>
        <w:t xml:space="preserve"> </w:t>
      </w:r>
      <w:r>
        <w:t xml:space="preserve">indicates that peer evaluators regularly perform data analysis.</w:t>
      </w:r>
    </w:p>
    <w:tbl>
      <w:tblPr>
        <w:tblStyle w:val="Table"/>
        <w:tblW w:type="pct" w:w="5000"/>
        <w:tblLook w:firstRow="0" w:lastRow="0" w:firstColumn="0" w:lastColumn="0" w:noHBand="0" w:noVBand="0" w:val="0000"/>
        <w:jc w:val="start"/>
      </w:tblPr>
      <w:tblGrid>
        <w:gridCol w:w="7920"/>
      </w:tblGrid>
      <w:tr>
        <w:tc>
          <w:tcPr/>
          <w:bookmarkStart w:id="58" w:name="fig-evaluator-analysis-frequency"/>
          <w:p>
            <w:pPr>
              <w:jc w:val="center"/>
            </w:pPr>
            <w:r>
              <w:drawing>
                <wp:inline>
                  <wp:extent cx="4620126" cy="3696101"/>
                  <wp:effectExtent b="0" l="0" r="0" t="0"/>
                  <wp:docPr descr="" title="" id="56" name="Picture"/>
                  <a:graphic>
                    <a:graphicData uri="http://schemas.openxmlformats.org/drawingml/2006/picture">
                      <pic:pic>
                        <pic:nvPicPr>
                          <pic:cNvPr descr="multi100_results_files/figure-docx/fig-evaluator-analysis-frequency-1.png" id="57"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9: The figure shows how regularly the peer evaluators perform data analysis.</w:t>
            </w:r>
          </w:p>
          <w:bookmarkEnd w:id="58"/>
        </w:tc>
      </w:tr>
    </w:tbl>
    <w:p>
      <w:pPr>
        <w:pStyle w:val="BodyText"/>
      </w:pPr>
      <w:hyperlink w:anchor="fig-evaluator-expertise">
        <w:r>
          <w:rPr>
            <w:rStyle w:val="Hyperlink"/>
          </w:rPr>
          <w:t xml:space="preserve">Figure 10</w:t>
        </w:r>
      </w:hyperlink>
      <w:r>
        <w:t xml:space="preserve"> </w:t>
      </w:r>
      <w:r>
        <w:t xml:space="preserve">indicates that most peer evaluators rate themselves close to expert level in data analysis.</w:t>
      </w:r>
    </w:p>
    <w:tbl>
      <w:tblPr>
        <w:tblStyle w:val="Table"/>
        <w:tblW w:type="pct" w:w="5000"/>
        <w:tblLook w:firstRow="0" w:lastRow="0" w:firstColumn="0" w:lastColumn="0" w:noHBand="0" w:noVBand="0" w:val="0000"/>
        <w:jc w:val="start"/>
      </w:tblPr>
      <w:tblGrid>
        <w:gridCol w:w="7920"/>
      </w:tblGrid>
      <w:tr>
        <w:tc>
          <w:tcPr/>
          <w:bookmarkStart w:id="62" w:name="fig-evaluator-expertise"/>
          <w:p>
            <w:pPr>
              <w:jc w:val="center"/>
            </w:pPr>
            <w:r>
              <w:drawing>
                <wp:inline>
                  <wp:extent cx="4620126" cy="3696101"/>
                  <wp:effectExtent b="0" l="0" r="0" t="0"/>
                  <wp:docPr descr="" title="" id="60" name="Picture"/>
                  <a:graphic>
                    <a:graphicData uri="http://schemas.openxmlformats.org/drawingml/2006/picture">
                      <pic:pic>
                        <pic:nvPicPr>
                          <pic:cNvPr descr="multi100_results_files/figure-docx/fig-evaluator-expertise-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 The figure shows the peer evaluators’ self-rated level of expertise in data analysis. When a peer evaluator submitted more than one re-analysis, we kept only their first response.</w:t>
            </w:r>
          </w:p>
          <w:bookmarkEnd w:id="62"/>
        </w:tc>
      </w:tr>
    </w:tbl>
    <w:bookmarkEnd w:id="63"/>
    <w:bookmarkEnd w:id="64"/>
    <w:bookmarkStart w:id="66" w:name="peer-evaluations"/>
    <w:p>
      <w:pPr>
        <w:pStyle w:val="Heading3"/>
      </w:pPr>
      <w:r>
        <w:t xml:space="preserve">Peer evaluations</w:t>
      </w:r>
    </w:p>
    <w:bookmarkStart w:id="65" w:name="descriptives-of-peer-evaluations"/>
    <w:p>
      <w:pPr>
        <w:pStyle w:val="Heading4"/>
      </w:pPr>
      <w:r>
        <w:t xml:space="preserve">Descriptives of peer evaluations</w:t>
      </w:r>
    </w:p>
    <w:p>
      <w:pPr>
        <w:pStyle w:val="FirstParagraph"/>
      </w:pPr>
      <w:r>
        <w:t xml:space="preserve">In total, we received 490 peer evaluation reports. One peer evaluation was removed because the ID of the analyst was not provided, and as such, we could not verify with certainty which re-analysis was being evaluated leaving us with a total of 489 peer evaluation reports on 73 different papers. After the panel member review of the peer evaluations (see Peer Evaluation: Review and Decisions’ supplement for all decisions and reasoning behind each case), the final result of the peer evaluation was the following.</w:t>
      </w:r>
    </w:p>
    <w:p>
      <w:pPr>
        <w:pStyle w:val="BodyText"/>
      </w:pPr>
      <w:r>
        <w:t xml:space="preserve">At the end of the peer evaluation process, one analysis was deemed to contain an unacceptable analysis pipeline. Therefore, we removed this single analysis from our results. For the remaining analyses, it was determined that all Task 1 and Task 2 analysis pipelines were acceptable. Furthermore, all remaining Task 1 conclusions were considered to accurately follow on from the results, and the analysts self-categorization of the results were considered adequate.</w:t>
      </w:r>
    </w:p>
    <w:p>
      <w:pPr>
        <w:pStyle w:val="BodyText"/>
      </w:pPr>
      <w:r>
        <w:t xml:space="preserve">204 analytical reproducibility checks were successfully conducted which identified mismatches in 19 analyses. In all of these cases we verified that that the mismatches did not have a meaningful impact on the reported conclusion, categorization, or effect size.</w:t>
      </w:r>
    </w:p>
    <w:bookmarkEnd w:id="65"/>
    <w:bookmarkEnd w:id="66"/>
    <w:bookmarkEnd w:id="67"/>
    <w:bookmarkStart w:id="176" w:name="Xba55456f048c68535441495f6d8ada6b71c827d"/>
    <w:p>
      <w:pPr>
        <w:pStyle w:val="Heading2"/>
      </w:pPr>
      <w:r>
        <w:t xml:space="preserve">Inferential robustness: The robust of the conclusions to analytical choices published in social sciences</w:t>
      </w:r>
    </w:p>
    <w:p>
      <w:pPr>
        <w:pStyle w:val="FirstParagraph"/>
      </w:pPr>
      <w:r>
        <w:t xml:space="preserve">Do different analysts arrive at the same conclusions as the analysts of the original study?</w:t>
      </w:r>
    </w:p>
    <w:bookmarkStart w:id="175" w:name="task-1-survey-results"/>
    <w:p>
      <w:pPr>
        <w:pStyle w:val="Heading3"/>
      </w:pPr>
      <w:r>
        <w:t xml:space="preserve">Task 1 Survey results</w:t>
      </w:r>
    </w:p>
    <w:p>
      <w:pPr>
        <w:pStyle w:val="FirstParagraph"/>
      </w:pPr>
      <w:r>
        <w:t xml:space="preserve">In Task 1, the co-analysts were asked to conduct any statistical analysis to arrive at a single conclusion. Out of 100 re-analysed studies, the conclusions of 34% (34) remained robust to independent re-analysis, so all assigned co-analysts arrived at the same conclusion as reported in the article of the original study (inferential robustness; see</w:t>
      </w:r>
      <w:r>
        <w:t xml:space="preserve"> </w:t>
      </w:r>
      <w:hyperlink w:anchor="fig-conclusions-main-robustness">
        <w:r>
          <w:rPr>
            <w:rStyle w:val="Hyperlink"/>
          </w:rPr>
          <w:t xml:space="preserve">Figure 11</w:t>
        </w:r>
      </w:hyperlink>
      <w:r>
        <w:t xml:space="preserve">).</w:t>
      </w:r>
    </w:p>
    <w:tbl>
      <w:tblPr>
        <w:tblStyle w:val="Table"/>
        <w:tblW w:type="pct" w:w="5000"/>
        <w:tblLook w:firstRow="0" w:lastRow="0" w:firstColumn="0" w:lastColumn="0" w:noHBand="0" w:noVBand="0" w:val="0000"/>
        <w:jc w:val="start"/>
      </w:tblPr>
      <w:tblGrid>
        <w:gridCol w:w="7920"/>
      </w:tblGrid>
      <w:tr>
        <w:tc>
          <w:tcPr/>
          <w:bookmarkStart w:id="71" w:name="fig-conclusions-main-robustness"/>
          <w:p>
            <w:pPr>
              <w:jc w:val="center"/>
            </w:pPr>
            <w:r>
              <w:drawing>
                <wp:inline>
                  <wp:extent cx="4620126" cy="3696101"/>
                  <wp:effectExtent b="0" l="0" r="0" t="0"/>
                  <wp:docPr descr="" title="" id="69" name="Picture"/>
                  <a:graphic>
                    <a:graphicData uri="http://schemas.openxmlformats.org/drawingml/2006/picture">
                      <pic:pic>
                        <pic:nvPicPr>
                          <pic:cNvPr descr="multi100_results_files/figure-docx/fig-conclusions-main-robustness-1.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The figure shows the proportion of the inferentially robust and not robust studies.</w:t>
            </w:r>
          </w:p>
          <w:bookmarkEnd w:id="71"/>
        </w:tc>
      </w:tr>
    </w:tbl>
    <w:p>
      <w:pPr>
        <w:pStyle w:val="BodyText"/>
      </w:pPr>
      <w:hyperlink w:anchor="fig-conclusions-main">
        <w:r>
          <w:rPr>
            <w:rStyle w:val="Hyperlink"/>
          </w:rPr>
          <w:t xml:space="preserve">Figure 12</w:t>
        </w:r>
      </w:hyperlink>
      <w:r>
        <w:t xml:space="preserve"> </w:t>
      </w:r>
      <w:r>
        <w:t xml:space="preserve">shows the histogram display of the different and identical conclusions resulting from the re-analysis of each of the studies.</w:t>
      </w:r>
    </w:p>
    <w:tbl>
      <w:tblPr>
        <w:tblStyle w:val="Table"/>
        <w:tblW w:type="pct" w:w="5000"/>
        <w:tblLook w:firstRow="0" w:lastRow="0" w:firstColumn="0" w:lastColumn="0" w:noHBand="0" w:noVBand="0" w:val="0000"/>
        <w:jc w:val="start"/>
      </w:tblPr>
      <w:tblGrid>
        <w:gridCol w:w="7920"/>
      </w:tblGrid>
      <w:tr>
        <w:tc>
          <w:tcPr/>
          <w:bookmarkStart w:id="75" w:name="fig-conclusions-main"/>
          <w:p>
            <w:pPr>
              <w:jc w:val="center"/>
            </w:pPr>
            <w:r>
              <w:drawing>
                <wp:inline>
                  <wp:extent cx="4620126" cy="3696101"/>
                  <wp:effectExtent b="0" l="0" r="0" t="0"/>
                  <wp:docPr descr="" title="" id="73" name="Picture"/>
                  <a:graphic>
                    <a:graphicData uri="http://schemas.openxmlformats.org/drawingml/2006/picture">
                      <pic:pic>
                        <pic:nvPicPr>
                          <pic:cNvPr descr="multi100_results_files/figure-docx/fig-conclusions-main-1.png" id="74"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The figure shows the percentage of identical, inconclusive, and different conclusions for each study. Study numbers correspond to studies listed in Table S1.</w:t>
            </w:r>
          </w:p>
          <w:bookmarkEnd w:id="75"/>
        </w:tc>
      </w:tr>
    </w:tbl>
    <w:p>
      <w:pPr>
        <w:pStyle w:val="BodyText"/>
      </w:pPr>
      <w:r>
        <w:t xml:space="preserve">Across all the re-analyses, 73.61 % (371 out of 504) of them arrived at the same conclusion; 24.21% (122 out of 504) to no effects, and 2.18% (11 out of 504) to opposite effect compared to the original conclusion.</w:t>
      </w:r>
    </w:p>
    <w:bookmarkStart w:id="84" w:name="inferential-robustness-by-discipline"/>
    <w:p>
      <w:pPr>
        <w:pStyle w:val="Heading4"/>
      </w:pPr>
      <w:r>
        <w:t xml:space="preserve">Inferential robustness by discipline</w:t>
      </w:r>
    </w:p>
    <w:p>
      <w:pPr>
        <w:pStyle w:val="FirstParagraph"/>
      </w:pPr>
      <w:r>
        <w:t xml:space="preserve">We were interested to see whether the above results show a different pattern when inspecting them in different disciplines.</w:t>
      </w:r>
      <w:r>
        <w:t xml:space="preserve"> </w:t>
      </w:r>
      <w:hyperlink w:anchor="fig-discipline-robustness">
        <w:r>
          <w:rPr>
            <w:rStyle w:val="Hyperlink"/>
          </w:rPr>
          <w:t xml:space="preserve">Figure 13</w:t>
        </w:r>
      </w:hyperlink>
      <w:r>
        <w:t xml:space="preserve"> </w:t>
      </w:r>
      <w:r>
        <w:t xml:space="preserve">shows that for the fields with more than 10 studies in our collection (Economics, Political Science, and Psychology) the pattern was comparably similar. We found no outstanding differences between the discipline regarding the percentage of different and identical conclusions either (see</w:t>
      </w:r>
      <w:r>
        <w:t xml:space="preserve"> </w:t>
      </w:r>
      <w:hyperlink w:anchor="fig-conclusions-discipline">
        <w:r>
          <w:rPr>
            <w:rStyle w:val="Hyperlink"/>
          </w:rPr>
          <w:t xml:space="preserve">Figure 14</w:t>
        </w:r>
      </w:hyperlink>
      <w:r>
        <w:t xml:space="preserve">).</w:t>
      </w:r>
    </w:p>
    <w:tbl>
      <w:tblPr>
        <w:tblStyle w:val="Table"/>
        <w:tblW w:type="pct" w:w="5000"/>
        <w:tblLook w:firstRow="0" w:lastRow="0" w:firstColumn="0" w:lastColumn="0" w:noHBand="0" w:noVBand="0" w:val="0000"/>
        <w:jc w:val="start"/>
      </w:tblPr>
      <w:tblGrid>
        <w:gridCol w:w="7920"/>
      </w:tblGrid>
      <w:tr>
        <w:tc>
          <w:tcPr/>
          <w:bookmarkStart w:id="79" w:name="fig-discipline-robustness"/>
          <w:p>
            <w:pPr>
              <w:jc w:val="center"/>
            </w:pPr>
            <w:r>
              <w:drawing>
                <wp:inline>
                  <wp:extent cx="4620126" cy="3696101"/>
                  <wp:effectExtent b="0" l="0" r="0" t="0"/>
                  <wp:docPr descr="" title="" id="77" name="Picture"/>
                  <a:graphic>
                    <a:graphicData uri="http://schemas.openxmlformats.org/drawingml/2006/picture">
                      <pic:pic>
                        <pic:nvPicPr>
                          <pic:cNvPr descr="multi100_results_files/figure-docx/fig-discipline-robustness-1.png" id="78"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13: The figure shows the inferential robustness of the studies by major disciplines (more than 10 studies in our collection).</w:t>
            </w:r>
          </w:p>
          <w:bookmarkEnd w:id="79"/>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83" w:name="fig-conclusions-discipline"/>
          <w:p>
            <w:pPr>
              <w:jc w:val="center"/>
            </w:pPr>
            <w:r>
              <w:drawing>
                <wp:inline>
                  <wp:extent cx="4620126" cy="3696101"/>
                  <wp:effectExtent b="0" l="0" r="0" t="0"/>
                  <wp:docPr descr="" title="" id="81" name="Picture"/>
                  <a:graphic>
                    <a:graphicData uri="http://schemas.openxmlformats.org/drawingml/2006/picture">
                      <pic:pic>
                        <pic:nvPicPr>
                          <pic:cNvPr descr="multi100_results_files/figure-docx/fig-conclusions-discipline-1.png" id="82"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14: The figure shows the percentage of identical, inconclusive, and different conclusions of the studies by major disciplines. The figure displays the count of re-analyses next to each discipline name.</w:t>
            </w:r>
          </w:p>
          <w:bookmarkEnd w:id="83"/>
        </w:tc>
      </w:tr>
    </w:tbl>
    <w:bookmarkEnd w:id="84"/>
    <w:bookmarkStart w:id="93" w:name="X56621872b9f507c5cd6da429c4fd2c418ac29cf"/>
    <w:p>
      <w:pPr>
        <w:pStyle w:val="Heading4"/>
      </w:pPr>
      <w:r>
        <w:t xml:space="preserve">Inferential robustness by study type (observational, experimental)</w:t>
      </w:r>
    </w:p>
    <w:p>
      <w:pPr>
        <w:pStyle w:val="FirstParagraph"/>
      </w:pPr>
      <w:r>
        <w:t xml:space="preserve">Here, we were interested to see whether these results show a different pattern when separating them by study type.</w:t>
      </w:r>
      <w:r>
        <w:t xml:space="preserve"> </w:t>
      </w:r>
      <w:hyperlink w:anchor="fig-studytype-robustness">
        <w:r>
          <w:rPr>
            <w:rStyle w:val="Hyperlink"/>
          </w:rPr>
          <w:t xml:space="preserve">Figure 15</w:t>
        </w:r>
      </w:hyperlink>
      <w:r>
        <w:t xml:space="preserve"> </w:t>
      </w:r>
      <w:r>
        <w:t xml:space="preserve">illustrates that nearly half of the results from experimental studies remained robust upon independent re-analysis, whereas only one-third of observational studies yielded robust conclusions. Moreover,</w:t>
      </w:r>
      <w:r>
        <w:t xml:space="preserve"> </w:t>
      </w:r>
      <w:hyperlink w:anchor="fig-conclusions-studytype">
        <w:r>
          <w:rPr>
            <w:rStyle w:val="Hyperlink"/>
          </w:rPr>
          <w:t xml:space="preserve">Figure 16</w:t>
        </w:r>
      </w:hyperlink>
      <w:r>
        <w:t xml:space="preserve"> </w:t>
      </w:r>
      <w:r>
        <w:t xml:space="preserve">indicates that, for both study types, the majority of the re-analyses reached the same conclusions as the original study.</w:t>
      </w:r>
    </w:p>
    <w:tbl>
      <w:tblPr>
        <w:tblStyle w:val="Table"/>
        <w:tblW w:type="pct" w:w="5000"/>
        <w:tblLook w:firstRow="0" w:lastRow="0" w:firstColumn="0" w:lastColumn="0" w:noHBand="0" w:noVBand="0" w:val="0000"/>
        <w:jc w:val="start"/>
      </w:tblPr>
      <w:tblGrid>
        <w:gridCol w:w="7920"/>
      </w:tblGrid>
      <w:tr>
        <w:tc>
          <w:tcPr/>
          <w:bookmarkStart w:id="88" w:name="fig-studytype-robustness"/>
          <w:p>
            <w:pPr>
              <w:jc w:val="center"/>
            </w:pPr>
            <w:r>
              <w:drawing>
                <wp:inline>
                  <wp:extent cx="4620126" cy="3696101"/>
                  <wp:effectExtent b="0" l="0" r="0" t="0"/>
                  <wp:docPr descr="" title="" id="86" name="Picture"/>
                  <a:graphic>
                    <a:graphicData uri="http://schemas.openxmlformats.org/drawingml/2006/picture">
                      <pic:pic>
                        <pic:nvPicPr>
                          <pic:cNvPr descr="multi100_results_files/figure-docx/fig-studytype-robustness-1.png" id="87"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15: The figure shows the inferential robustness of the studies by study type (experimental or observational). The figure displays the count of re-analyses next to each study type name.</w:t>
            </w:r>
          </w:p>
          <w:bookmarkEnd w:id="88"/>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92" w:name="fig-conclusions-studytype"/>
          <w:p>
            <w:pPr>
              <w:jc w:val="center"/>
            </w:pPr>
            <w:r>
              <w:drawing>
                <wp:inline>
                  <wp:extent cx="4620126" cy="3696101"/>
                  <wp:effectExtent b="0" l="0" r="0" t="0"/>
                  <wp:docPr descr="" title="" id="90" name="Picture"/>
                  <a:graphic>
                    <a:graphicData uri="http://schemas.openxmlformats.org/drawingml/2006/picture">
                      <pic:pic>
                        <pic:nvPicPr>
                          <pic:cNvPr descr="multi100_results_files/figure-docx/fig-conclusions-studytype-1.png" id="91" name="Picture"/>
                          <pic:cNvPicPr>
                            <a:picLocks noChangeArrowheads="1" noChangeAspect="1"/>
                          </pic:cNvPicPr>
                        </pic:nvPicPr>
                        <pic:blipFill>
                          <a:blip r:embed="rId89"/>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16: The figure shows percentage of same conclusion, no effect/inconclusive, and opposite effect of the re-analyses by study type (experimental, observational).</w:t>
            </w:r>
          </w:p>
          <w:bookmarkEnd w:id="92"/>
        </w:tc>
      </w:tr>
    </w:tbl>
    <w:bookmarkEnd w:id="93"/>
    <w:bookmarkStart w:id="98" w:name="Xdfdc337e416614e849eb7837e89f6ad48f95c81"/>
    <w:p>
      <w:pPr>
        <w:pStyle w:val="Heading4"/>
      </w:pPr>
      <w:r>
        <w:t xml:space="preserve">Inferential robustness by expertise (self-reported expertise in data analysis)</w:t>
      </w:r>
    </w:p>
    <w:p>
      <w:pPr>
        <w:pStyle w:val="FirstParagraph"/>
      </w:pPr>
      <w:r>
        <w:t xml:space="preserve">Here, we were interested to see whether these results show a different pattern when inspecting them along the reported expertise of the co-analysts.</w:t>
      </w:r>
      <w:r>
        <w:t xml:space="preserve"> </w:t>
      </w:r>
      <w:hyperlink w:anchor="fig-conclusions-expertise">
        <w:r>
          <w:rPr>
            <w:rStyle w:val="Hyperlink"/>
          </w:rPr>
          <w:t xml:space="preserve">Figure 17</w:t>
        </w:r>
      </w:hyperlink>
      <w:r>
        <w:t xml:space="preserve"> </w:t>
      </w:r>
      <w:r>
        <w:t xml:space="preserve">shows these results.</w:t>
      </w:r>
    </w:p>
    <w:tbl>
      <w:tblPr>
        <w:tblStyle w:val="Table"/>
        <w:tblW w:type="pct" w:w="5000"/>
        <w:tblLook w:firstRow="0" w:lastRow="0" w:firstColumn="0" w:lastColumn="0" w:noHBand="0" w:noVBand="0" w:val="0000"/>
        <w:jc w:val="start"/>
      </w:tblPr>
      <w:tblGrid>
        <w:gridCol w:w="7920"/>
      </w:tblGrid>
      <w:tr>
        <w:tc>
          <w:tcPr/>
          <w:bookmarkStart w:id="97" w:name="fig-conclusions-expertise"/>
          <w:p>
            <w:pPr>
              <w:jc w:val="center"/>
            </w:pPr>
            <w:r>
              <w:drawing>
                <wp:inline>
                  <wp:extent cx="4620126" cy="3696101"/>
                  <wp:effectExtent b="0" l="0" r="0" t="0"/>
                  <wp:docPr descr="" title="" id="95" name="Picture"/>
                  <a:graphic>
                    <a:graphicData uri="http://schemas.openxmlformats.org/drawingml/2006/picture">
                      <pic:pic>
                        <pic:nvPicPr>
                          <pic:cNvPr descr="multi100_results_files/figure-docx/fig-conclusions-expertise-1.png" id="96" name="Picture"/>
                          <pic:cNvPicPr>
                            <a:picLocks noChangeArrowheads="1" noChangeAspect="1"/>
                          </pic:cNvPicPr>
                        </pic:nvPicPr>
                        <pic:blipFill>
                          <a:blip r:embed="rId94"/>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17: The figure shows the percentage of same conclusion, no effect/inconclusive, and opposite effect of the re-analyses by self-rated expertise (on a scale of 1 (Beginner) to 10 (Expert)). The figure does not display the bottom two categories where fewer than 3 responses were collected for each.</w:t>
            </w:r>
          </w:p>
          <w:bookmarkEnd w:id="97"/>
        </w:tc>
      </w:tr>
    </w:tbl>
    <w:bookmarkEnd w:id="98"/>
    <w:bookmarkStart w:id="103" w:name="X22415d35f3d87771c3f0e3ea9f8b1d035327648"/>
    <w:p>
      <w:pPr>
        <w:pStyle w:val="Heading4"/>
      </w:pPr>
      <w:r>
        <w:t xml:space="preserve">Inferential robustness by peer evaluations</w:t>
      </w:r>
    </w:p>
    <w:p>
      <w:pPr>
        <w:pStyle w:val="FirstParagraph"/>
      </w:pPr>
      <w:hyperlink w:anchor="fig-subset-task1-pipeline">
        <w:r>
          <w:rPr>
            <w:rStyle w:val="Hyperlink"/>
          </w:rPr>
          <w:t xml:space="preserve">Figure 18</w:t>
        </w:r>
      </w:hyperlink>
      <w:r>
        <w:t xml:space="preserve"> </w:t>
      </w:r>
      <w:r>
        <w:t xml:space="preserve">shows the inferential robustness of the studies by the acceptability of the analysis pipelines according to the peer evaluators.</w:t>
      </w:r>
    </w:p>
    <w:tbl>
      <w:tblPr>
        <w:tblStyle w:val="Table"/>
        <w:tblW w:type="pct" w:w="5000"/>
        <w:tblLook w:firstRow="0" w:lastRow="0" w:firstColumn="0" w:lastColumn="0" w:noHBand="0" w:noVBand="0" w:val="0000"/>
        <w:jc w:val="start"/>
      </w:tblPr>
      <w:tblGrid>
        <w:gridCol w:w="7920"/>
      </w:tblGrid>
      <w:tr>
        <w:tc>
          <w:tcPr/>
          <w:bookmarkStart w:id="102" w:name="fig-subset-task1-pipeline"/>
          <w:p>
            <w:pPr>
              <w:jc w:val="center"/>
            </w:pPr>
            <w:r>
              <w:drawing>
                <wp:inline>
                  <wp:extent cx="4620126" cy="3696101"/>
                  <wp:effectExtent b="0" l="0" r="0" t="0"/>
                  <wp:docPr descr="" title="" id="100" name="Picture"/>
                  <a:graphic>
                    <a:graphicData uri="http://schemas.openxmlformats.org/drawingml/2006/picture">
                      <pic:pic>
                        <pic:nvPicPr>
                          <pic:cNvPr descr="multi100_results_files/figure-docx/fig-subset-task1-pipeline-1.png" id="101" name="Picture"/>
                          <pic:cNvPicPr>
                            <a:picLocks noChangeArrowheads="1" noChangeAspect="1"/>
                          </pic:cNvPicPr>
                        </pic:nvPicPr>
                        <pic:blipFill>
                          <a:blip r:embed="rId99"/>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18: The figure shows the inferential robustness of the studies by the acceptability of the analysis pipelines according to the peer evaluators. For this figure we only included studies with more than one peer evaluation and where the peer evaluators agreed on their rating. The figure shows only the studies with a medium and high quality of analysis pipelines.</w:t>
            </w:r>
          </w:p>
          <w:bookmarkEnd w:id="102"/>
        </w:tc>
      </w:tr>
    </w:tbl>
    <w:bookmarkEnd w:id="103"/>
    <w:bookmarkStart w:id="108" w:name="Xb02f8d680c75c0de0c3e645d4b2cb92474d5ee7"/>
    <w:p>
      <w:pPr>
        <w:pStyle w:val="Heading4"/>
      </w:pPr>
      <w:r>
        <w:t xml:space="preserve">Inferential robustness by prior familiarity with the dataset</w:t>
      </w:r>
    </w:p>
    <w:p>
      <w:pPr>
        <w:pStyle w:val="FirstParagraph"/>
      </w:pPr>
      <w:r>
        <w:t xml:space="preserve">Here, we were interested to see whether these results show a different pattern when inspecting them along their prior familiarity with the dataset.</w:t>
      </w:r>
      <w:r>
        <w:t xml:space="preserve"> </w:t>
      </w:r>
      <w:hyperlink w:anchor="fig-conclusions-familiarity">
        <w:r>
          <w:rPr>
            <w:rStyle w:val="Hyperlink"/>
          </w:rPr>
          <w:t xml:space="preserve">Figure 19</w:t>
        </w:r>
      </w:hyperlink>
      <w:r>
        <w:t xml:space="preserve"> </w:t>
      </w:r>
      <w:r>
        <w:t xml:space="preserve">shows that for these results.</w:t>
      </w:r>
    </w:p>
    <w:tbl>
      <w:tblPr>
        <w:tblStyle w:val="Table"/>
        <w:tblW w:type="pct" w:w="5000"/>
        <w:tblLook w:firstRow="0" w:lastRow="0" w:firstColumn="0" w:lastColumn="0" w:noHBand="0" w:noVBand="0" w:val="0000"/>
        <w:jc w:val="start"/>
      </w:tblPr>
      <w:tblGrid>
        <w:gridCol w:w="7920"/>
      </w:tblGrid>
      <w:tr>
        <w:tc>
          <w:tcPr/>
          <w:bookmarkStart w:id="107" w:name="fig-conclusions-familiarity"/>
          <w:p>
            <w:pPr>
              <w:jc w:val="center"/>
            </w:pPr>
            <w:r>
              <w:drawing>
                <wp:inline>
                  <wp:extent cx="4620126" cy="3696101"/>
                  <wp:effectExtent b="0" l="0" r="0" t="0"/>
                  <wp:docPr descr="" title="" id="105" name="Picture"/>
                  <a:graphic>
                    <a:graphicData uri="http://schemas.openxmlformats.org/drawingml/2006/picture">
                      <pic:pic>
                        <pic:nvPicPr>
                          <pic:cNvPr descr="multi100_results_files/figure-docx/fig-conclusions-familiarity-1.png" id="106" name="Picture"/>
                          <pic:cNvPicPr>
                            <a:picLocks noChangeArrowheads="1" noChangeAspect="1"/>
                          </pic:cNvPicPr>
                        </pic:nvPicPr>
                        <pic:blipFill>
                          <a:blip r:embed="rId104"/>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19: The figure shows the percentage of same conclusion, no effect/inconclusive, and opposite effect of the re-analyses by declared familiarity with the study.</w:t>
            </w:r>
          </w:p>
          <w:bookmarkEnd w:id="107"/>
        </w:tc>
      </w:tr>
    </w:tbl>
    <w:bookmarkEnd w:id="108"/>
    <w:bookmarkStart w:id="109" w:name="X93680680e4ecd5d4cd72b7e4111ceeb97182374"/>
    <w:p>
      <w:pPr>
        <w:pStyle w:val="Heading4"/>
      </w:pPr>
      <w:r>
        <w:t xml:space="preserve">Inferential robustness by the level of confidence with the suitability of the analysis</w:t>
      </w:r>
    </w:p>
    <w:p>
      <w:pPr>
        <w:pStyle w:val="FirstParagraph"/>
      </w:pPr>
      <w:r>
        <w:t xml:space="preserve">The following Table 3 shows the percentage of same conclusion, no effect/inconclusive, and opposite effect of the re-analyses by the analyst’s level of confidence with the suitability of the analysis.</w:t>
      </w:r>
    </w:p>
    <w:p>
      <w:pPr>
        <w:pStyle w:val="BodyText"/>
      </w:pPr>
      <w:r>
        <w:rPr>
          <w:bCs/>
          <w:b/>
        </w:rPr>
        <w:t xml:space="preserve">Table 3. Inferential Robustness by the Level of Confidence with the Suitability of the Analysis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Confidence rating</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Direction of the conclusion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Count</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Percentage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Not confident at 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Same conclusion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 / 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Not confident at 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No effect/inconclusive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 / 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Not confident at 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Opposite effect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 / 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Same conclusion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 / 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No effect/inconclusive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 / 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Opposite effect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 / 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Same conclusion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 / 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No effect/inconclusive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 / 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Opposite effect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 / 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Same conclusion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165 / 228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No effect/inconclusive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 / 228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Opposite effect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 / 228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Very confident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Same conclusion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151 / 177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Very confident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No effect/inconclusive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 / 177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Very confident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Opposite effect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 / 177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r>
    </w:tbl>
    <w:bookmarkEnd w:id="109"/>
    <w:bookmarkStart w:id="114" w:name="X5eaa0d3b1212ddb24b4e72526e5ab9bab3496ec"/>
    <w:p>
      <w:pPr>
        <w:pStyle w:val="Heading4"/>
      </w:pPr>
      <w:r>
        <w:t xml:space="preserve">Inferential robustness by the sample size</w:t>
      </w:r>
    </w:p>
    <w:p>
      <w:pPr>
        <w:pStyle w:val="FirstParagraph"/>
      </w:pPr>
      <w:r>
        <w:t xml:space="preserve">Here, in</w:t>
      </w:r>
      <w:r>
        <w:t xml:space="preserve"> </w:t>
      </w:r>
      <w:hyperlink w:anchor="fig-conclusions-samplesize">
        <w:r>
          <w:rPr>
            <w:rStyle w:val="Hyperlink"/>
          </w:rPr>
          <w:t xml:space="preserve">Figure 20</w:t>
        </w:r>
      </w:hyperlink>
      <w:r>
        <w:t xml:space="preserve"> </w:t>
      </w:r>
      <w:r>
        <w:t xml:space="preserve">we were interested to see whether these results show a different pattern when considering sample size.</w:t>
      </w:r>
    </w:p>
    <w:p>
      <w:pPr>
        <w:pStyle w:val="SourceCode"/>
      </w:pPr>
      <w:r>
        <w:rPr>
          <w:rStyle w:val="VerbatimChar"/>
        </w:rPr>
        <w:t xml:space="preserve">[1] 446</w:t>
      </w:r>
    </w:p>
    <w:p>
      <w:pPr>
        <w:pStyle w:val="SourceCode"/>
      </w:pPr>
      <w:r>
        <w:rPr>
          <w:rStyle w:val="VerbatimChar"/>
        </w:rPr>
        <w:t xml:space="preserve">[1] 345</w:t>
      </w:r>
    </w:p>
    <w:tbl>
      <w:tblPr>
        <w:tblStyle w:val="Table"/>
        <w:tblW w:type="pct" w:w="5000"/>
        <w:tblLook w:firstRow="0" w:lastRow="0" w:firstColumn="0" w:lastColumn="0" w:noHBand="0" w:noVBand="0" w:val="0000"/>
        <w:jc w:val="start"/>
      </w:tblPr>
      <w:tblGrid>
        <w:gridCol w:w="7920"/>
      </w:tblGrid>
      <w:tr>
        <w:tc>
          <w:tcPr/>
          <w:bookmarkStart w:id="113" w:name="fig-conclusions-samplesize"/>
          <w:p>
            <w:pPr>
              <w:jc w:val="center"/>
            </w:pPr>
            <w:r>
              <w:drawing>
                <wp:inline>
                  <wp:extent cx="4620126" cy="3696101"/>
                  <wp:effectExtent b="0" l="0" r="0" t="0"/>
                  <wp:docPr descr="" title="" id="111" name="Picture"/>
                  <a:graphic>
                    <a:graphicData uri="http://schemas.openxmlformats.org/drawingml/2006/picture">
                      <pic:pic>
                        <pic:nvPicPr>
                          <pic:cNvPr descr="multi100_results_files/figure-docx/fig-conclusions-samplesize-1.png" id="112" name="Picture"/>
                          <pic:cNvPicPr>
                            <a:picLocks noChangeArrowheads="1" noChangeAspect="1"/>
                          </pic:cNvPicPr>
                        </pic:nvPicPr>
                        <pic:blipFill>
                          <a:blip r:embed="rId110"/>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20: This raincloud figure shows the distribution of the sample sizes of the re-analyses resulting in same conclusion, no effect/inconclusive, and opposite effects.</w:t>
            </w:r>
          </w:p>
          <w:bookmarkEnd w:id="113"/>
        </w:tc>
      </w:tr>
    </w:tbl>
    <w:bookmarkEnd w:id="114"/>
    <w:bookmarkStart w:id="169" w:name="X94841b6cd8f3c64f6b1d2e7b88b5d185115f5b2"/>
    <w:p>
      <w:pPr>
        <w:pStyle w:val="Heading4"/>
      </w:pPr>
      <w:r>
        <w:t xml:space="preserve">Estimate robustness: robust of the statistical findings published in social sciences to analytical choices</w:t>
      </w:r>
    </w:p>
    <w:p>
      <w:pPr>
        <w:pStyle w:val="FirstParagraph"/>
      </w:pPr>
      <w:r>
        <w:t xml:space="preserve">A main question of our study was whether different analysts arrive at the same effect estimates (+/- 0.05 Cohen’s d) as the analyst of the original study?</w:t>
      </w:r>
      <w:r>
        <w:t xml:space="preserve"> </w:t>
      </w:r>
      <w:hyperlink w:anchor="fig-effect-main">
        <w:r>
          <w:rPr>
            <w:rStyle w:val="Hyperlink"/>
          </w:rPr>
          <w:t xml:space="preserve">Figure 21</w:t>
        </w:r>
      </w:hyperlink>
      <w:r>
        <w:t xml:space="preserve"> </w:t>
      </w:r>
      <w:r>
        <w:t xml:space="preserve">shows percentages of the effect sizes falling within the preset tolerance range (+/- 0.05 Cohen’s d) for each study. The figure displays 447 re-analysis effect size estimates. For 57 re-analyses, the reported effect size was not convertible to Cohen’s d. The figure does not show 5 re-analysed effect sizes which are higher than 5 or lower than -5 Cohen’s d (study 042: 13.147; study 026: 12.055; study 053: 60.578; study 029: 6.835; study 057: 37.234). For the 7 studies listed in the bottom of the graph, we could not determine the original effect size due to missing information.</w:t>
      </w:r>
    </w:p>
    <w:tbl>
      <w:tblPr>
        <w:tblStyle w:val="Table"/>
        <w:tblW w:type="pct" w:w="5000"/>
        <w:tblLook w:firstRow="0" w:lastRow="0" w:firstColumn="0" w:lastColumn="0" w:noHBand="0" w:noVBand="0" w:val="0000"/>
        <w:jc w:val="start"/>
      </w:tblPr>
      <w:tblGrid>
        <w:gridCol w:w="7920"/>
      </w:tblGrid>
      <w:tr>
        <w:tc>
          <w:tcPr/>
          <w:bookmarkStart w:id="118" w:name="fig-effect-main"/>
          <w:p>
            <w:pPr>
              <w:jc w:val="center"/>
            </w:pPr>
            <w:r>
              <w:drawing>
                <wp:inline>
                  <wp:extent cx="4620126" cy="3696101"/>
                  <wp:effectExtent b="0" l="0" r="0" t="0"/>
                  <wp:docPr descr="" title="" id="116" name="Picture"/>
                  <a:graphic>
                    <a:graphicData uri="http://schemas.openxmlformats.org/drawingml/2006/picture">
                      <pic:pic>
                        <pic:nvPicPr>
                          <pic:cNvPr descr="multi100_results_files/figure-docx/fig-effect-main-1.png" id="117" name="Picture"/>
                          <pic:cNvPicPr>
                            <a:picLocks noChangeArrowheads="1" noChangeAspect="1"/>
                          </pic:cNvPicPr>
                        </pic:nvPicPr>
                        <pic:blipFill>
                          <a:blip r:embed="rId115"/>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21: The figure shows the effect size of the original result (black square) and the effect sizes of the re-analyses (green dot) for each study after conversions to Cohen’s d. Study numbers correspond to studies listed in Table S1.</w:t>
            </w:r>
          </w:p>
          <w:bookmarkEnd w:id="118"/>
        </w:tc>
      </w:tr>
    </w:tbl>
    <w:p>
      <w:pPr>
        <w:pStyle w:val="SourceCode"/>
      </w:pPr>
      <w:r>
        <w:rPr>
          <w:rStyle w:val="CommentTok"/>
        </w:rPr>
        <w:t xml:space="preserve"># Based on: https://github.com/CenterForOpenScience/rpp</w:t>
      </w:r>
      <w:r>
        <w:br/>
      </w:r>
      <w:r>
        <w:rPr>
          <w:rStyle w:val="NormalTok"/>
        </w:rPr>
        <w:t xml:space="preserve">colors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"Original"</w:t>
      </w:r>
      <w:r>
        <w:rPr>
          <w:rStyle w:val="NormalTok"/>
        </w:rPr>
        <w:t xml:space="preserve"> </w:t>
      </w:r>
      <w:r>
        <w:rPr>
          <w:rStyle w:val="OtherTok"/>
        </w:rPr>
        <w:t xml:space="preserve">=</w:t>
      </w:r>
      <w:r>
        <w:rPr>
          <w:rStyle w:val="NormalTok"/>
        </w:rPr>
        <w:t xml:space="preserve"> </w:t>
      </w:r>
      <w:r>
        <w:rPr>
          <w:rStyle w:val="StringTok"/>
        </w:rPr>
        <w:t xml:space="preserve">"#440154FF"</w:t>
      </w:r>
      <w:r>
        <w:rPr>
          <w:rStyle w:val="NormalTok"/>
        </w:rPr>
        <w:t xml:space="preserve">, </w:t>
      </w:r>
      <w:r>
        <w:rPr>
          <w:rStyle w:val="StringTok"/>
        </w:rPr>
        <w:t xml:space="preserve">"Replication"</w:t>
      </w:r>
      <w:r>
        <w:rPr>
          <w:rStyle w:val="NormalTok"/>
        </w:rPr>
        <w:t xml:space="preserve"> </w:t>
      </w:r>
      <w:r>
        <w:rPr>
          <w:rStyle w:val="OtherTok"/>
        </w:rPr>
        <w:t xml:space="preserve">=</w:t>
      </w:r>
      <w:r>
        <w:rPr>
          <w:rStyle w:val="NormalTok"/>
        </w:rPr>
        <w:t xml:space="preserve"> </w:t>
      </w:r>
      <w:r>
        <w:rPr>
          <w:rStyle w:val="StringTok"/>
        </w:rPr>
        <w:t xml:space="preserve">"#FDE725FF"</w:t>
      </w:r>
      <w:r>
        <w:rPr>
          <w:rStyle w:val="NormalTok"/>
        </w:rPr>
        <w:t xml:space="preserve">)</w:t>
      </w:r>
      <w:r>
        <w:br/>
      </w:r>
      <w:r>
        <w:br/>
      </w:r>
      <w:r>
        <w:rPr>
          <w:rStyle w:val="NormalTok"/>
        </w:rPr>
        <w:t xml:space="preserve">y_dense </w:t>
      </w:r>
      <w:r>
        <w:rPr>
          <w:rStyle w:val="OtherTok"/>
        </w:rPr>
        <w:t xml:space="preserve">&lt;-</w:t>
      </w:r>
      <w:r>
        <w:br/>
      </w:r>
      <w:r>
        <w:rPr>
          <w:rStyle w:val="NormalTok"/>
        </w:rPr>
        <w:t xml:space="preserve">  reanalysis_data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(effect_size))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filter</w:t>
      </w:r>
      <w:r>
        <w:rPr>
          <w:rStyle w:val="NormalTok"/>
        </w:rPr>
        <w:t xml:space="preserve">(effect_size </w:t>
      </w:r>
      <w:r>
        <w:rPr>
          <w:rStyle w:val="SpecialCharTok"/>
        </w:rPr>
        <w:t xml:space="preserve">&lt;=</w:t>
      </w:r>
      <w:r>
        <w:rPr>
          <w:rStyle w:val="NormalTok"/>
        </w:rPr>
        <w:t xml:space="preserve"> </w:t>
      </w:r>
      <w:r>
        <w:rPr>
          <w:rStyle w:val="DecValTok"/>
        </w:rPr>
        <w:t xml:space="preserve">5</w:t>
      </w:r>
      <w:r>
        <w:rPr>
          <w:rStyle w:val="NormalTok"/>
        </w:rPr>
        <w:t xml:space="preserve"> </w:t>
      </w:r>
      <w:r>
        <w:rPr>
          <w:rStyle w:val="SpecialCharTok"/>
        </w:rPr>
        <w:t xml:space="preserve">&amp;</w:t>
      </w:r>
      <w:r>
        <w:rPr>
          <w:rStyle w:val="NormalTok"/>
        </w:rPr>
        <w:t xml:space="preserve"> effect_size </w:t>
      </w:r>
      <w:r>
        <w:rPr>
          <w:rStyle w:val="SpecialCharTok"/>
        </w:rPr>
        <w:t xml:space="preserve">&gt;=</w:t>
      </w:r>
      <w:r>
        <w:rPr>
          <w:rStyle w:val="NormalTok"/>
        </w:rPr>
        <w:t xml:space="preserve"> </w:t>
      </w:r>
      <w:r>
        <w:rPr>
          <w:rStyle w:val="SpecialCharTok"/>
        </w:rPr>
        <w:t xml:space="preserve">-</w:t>
      </w:r>
      <w:r>
        <w:rPr>
          <w:rStyle w:val="DecValTok"/>
        </w:rPr>
        <w:t xml:space="preserve">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effect_size))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..count.., </w:t>
      </w:r>
      <w:r>
        <w:rPr>
          <w:rStyle w:val="AttributeTok"/>
        </w:rPr>
        <w:t xml:space="preserve">fill =</w:t>
      </w:r>
      <w:r>
        <w:rPr>
          <w:rStyle w:val="NormalTok"/>
        </w:rPr>
        <w:t xml:space="preserve"> </w:t>
      </w:r>
      <w:r>
        <w:rPr>
          <w:rStyle w:val="StringTok"/>
        </w:rPr>
        <w:t xml:space="preserve">"Replication"</w:t>
      </w:r>
      <w:r>
        <w:rPr>
          <w:rStyle w:val="NormalTok"/>
        </w:rPr>
        <w:t xml:space="preserve">), </w:t>
      </w:r>
      <w:r>
        <w:rPr>
          <w:rStyle w:val="AttributeTok"/>
        </w:rPr>
        <w:t xml:space="preserve">trim =</w:t>
      </w:r>
      <w:r>
        <w:rPr>
          <w:rStyle w:val="NormalTok"/>
        </w:rPr>
        <w:t xml:space="preserve"> F, </w:t>
      </w:r>
      <w:r>
        <w:rPr>
          <w:rStyle w:val="AttributeTok"/>
        </w:rPr>
        <w:t xml:space="preserve">alpha =</w:t>
      </w:r>
      <w:r>
        <w:rPr>
          <w:rStyle w:val="NormalTok"/>
        </w:rPr>
        <w:t xml:space="preserve"> .</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colors)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"none"</w:t>
      </w:r>
      <w:r>
        <w:rPr>
          <w:rStyle w:val="NormalTok"/>
        </w:rPr>
        <w:t xml:space="preserve">,</w:t>
      </w:r>
      <w:r>
        <w:br/>
      </w:r>
      <w:r>
        <w:rPr>
          <w:rStyle w:val="NormalTok"/>
        </w:rPr>
        <w:t xml:space="preserve">        </w:t>
      </w:r>
      <w:r>
        <w:br/>
      </w:r>
      <w:r>
        <w:rPr>
          <w:rStyle w:val="NormalTok"/>
        </w:rPr>
        <w:t xml:space="preserve">    </w:t>
      </w:r>
      <w:r>
        <w:rPr>
          <w:rStyle w:val="AttributeTok"/>
        </w:rPr>
        <w:t xml:space="preserve">plot.margin =</w:t>
      </w:r>
      <w:r>
        <w:rPr>
          <w:rStyle w:val="NormalTok"/>
        </w:rPr>
        <w:t xml:space="preserve"> </w:t>
      </w:r>
      <w:r>
        <w:rPr>
          <w:rStyle w:val="FunctionTok"/>
        </w:rPr>
        <w:t xml:space="preserve">unit</w:t>
      </w:r>
      <w:r>
        <w:rPr>
          <w:rStyle w:val="NormalTok"/>
        </w:rPr>
        <w:t xml:space="preserve">(</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3</w:t>
      </w:r>
      <w:r>
        <w:rPr>
          <w:rStyle w:val="NormalTok"/>
        </w:rPr>
        <w:t xml:space="preserve">, </w:t>
      </w:r>
      <w:r>
        <w:rPr>
          <w:rStyle w:val="DecValTok"/>
        </w:rPr>
        <w:t xml:space="preserve">0</w:t>
      </w:r>
      <w:r>
        <w:rPr>
          <w:rStyle w:val="NormalTok"/>
        </w:rPr>
        <w:t xml:space="preserve">), </w:t>
      </w:r>
      <w:r>
        <w:rPr>
          <w:rStyle w:val="StringTok"/>
        </w:rPr>
        <w:t xml:space="preserve">"lines"</w:t>
      </w:r>
      <w:r>
        <w:rPr>
          <w:rStyle w:val="NormalTok"/>
        </w:rPr>
        <w:t xml:space="preserve">),</w:t>
      </w:r>
      <w:r>
        <w:br/>
      </w:r>
      <w:r>
        <w:rPr>
          <w:rStyle w:val="NormalTok"/>
        </w:rPr>
        <w:t xml:space="preserve">    </w:t>
      </w:r>
      <w:r>
        <w:rPr>
          <w:rStyle w:val="AttributeTok"/>
        </w:rPr>
        <w:t xml:space="preserve">panel.background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axis.ticks =</w:t>
      </w:r>
      <w:r>
        <w:rPr>
          <w:rStyle w:val="NormalTok"/>
        </w:rPr>
        <w:t xml:space="preserve"> </w:t>
      </w:r>
      <w:r>
        <w:rPr>
          <w:rStyle w:val="FunctionTok"/>
        </w:rPr>
        <w:t xml:space="preserve">element_blank</w:t>
      </w:r>
      <w:r>
        <w:rPr>
          <w:rStyle w:val="NormalTok"/>
        </w:rPr>
        <w:t xml:space="preserve">()</w:t>
      </w:r>
      <w:r>
        <w:br/>
      </w:r>
      <w:r>
        <w:rPr>
          <w:rStyle w:val="NormalTok"/>
        </w:rPr>
        <w:t xml:space="preserve">    )</w:t>
      </w:r>
      <w:r>
        <w:br/>
      </w:r>
      <w:r>
        <w:br/>
      </w:r>
      <w:r>
        <w:rPr>
          <w:rStyle w:val="NormalTok"/>
        </w:rPr>
        <w:t xml:space="preserve">x_dense </w:t>
      </w:r>
      <w:r>
        <w:rPr>
          <w:rStyle w:val="OtherTok"/>
        </w:rPr>
        <w:t xml:space="preserve">&lt;-</w:t>
      </w:r>
      <w:r>
        <w:rPr>
          <w:rStyle w:val="NormalTok"/>
        </w:rPr>
        <w:t xml:space="preserve"> </w:t>
      </w:r>
      <w:r>
        <w:br/>
      </w:r>
      <w:r>
        <w:rPr>
          <w:rStyle w:val="NormalTok"/>
        </w:rPr>
        <w:t xml:space="preserve">  original_data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filter</w:t>
      </w:r>
      <w:r>
        <w:rPr>
          <w:rStyle w:val="NormalTok"/>
        </w:rPr>
        <w:t xml:space="preserve">(original_cohens_d </w:t>
      </w:r>
      <w:r>
        <w:rPr>
          <w:rStyle w:val="SpecialCharTok"/>
        </w:rPr>
        <w:t xml:space="preserve">!=</w:t>
      </w:r>
      <w:r>
        <w:rPr>
          <w:rStyle w:val="NormalTok"/>
        </w:rPr>
        <w:t xml:space="preserve"> </w:t>
      </w:r>
      <w:r>
        <w:rPr>
          <w:rStyle w:val="SpecialCharTok"/>
        </w:rPr>
        <w:t xml:space="preserve">-</w:t>
      </w:r>
      <w:r>
        <w:rPr>
          <w:rStyle w:val="ConstantTok"/>
        </w:rPr>
        <w:t xml:space="preserve">Inf</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original_cohens_d))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..count.., </w:t>
      </w:r>
      <w:r>
        <w:rPr>
          <w:rStyle w:val="AttributeTok"/>
        </w:rPr>
        <w:t xml:space="preserve">fill =</w:t>
      </w:r>
      <w:r>
        <w:rPr>
          <w:rStyle w:val="NormalTok"/>
        </w:rPr>
        <w:t xml:space="preserve"> </w:t>
      </w:r>
      <w:r>
        <w:rPr>
          <w:rStyle w:val="StringTok"/>
        </w:rPr>
        <w:t xml:space="preserve">"Original"</w:t>
      </w:r>
      <w:r>
        <w:rPr>
          <w:rStyle w:val="NormalTok"/>
        </w:rPr>
        <w:t xml:space="preserve">), </w:t>
      </w:r>
      <w:r>
        <w:rPr>
          <w:rStyle w:val="AttributeTok"/>
        </w:rPr>
        <w:t xml:space="preserve">trim =</w:t>
      </w:r>
      <w:r>
        <w:rPr>
          <w:rStyle w:val="NormalTok"/>
        </w:rPr>
        <w:t xml:space="preserve"> F, </w:t>
      </w:r>
      <w:r>
        <w:rPr>
          <w:rStyle w:val="AttributeTok"/>
        </w:rPr>
        <w:t xml:space="preserve">alpha =</w:t>
      </w:r>
      <w:r>
        <w:rPr>
          <w:rStyle w:val="NormalTok"/>
        </w:rPr>
        <w:t xml:space="preserve"> .</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colors)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"none"</w:t>
      </w:r>
      <w:r>
        <w:rPr>
          <w:rStyle w:val="NormalTok"/>
        </w:rPr>
        <w:t xml:space="preserve">,</w:t>
      </w:r>
      <w:r>
        <w:br/>
      </w:r>
      <w:r>
        <w:rPr>
          <w:rStyle w:val="NormalTok"/>
        </w:rPr>
        <w:t xml:space="preserve">        </w:t>
      </w:r>
      <w:r>
        <w:rPr>
          <w:rStyle w:val="AttributeTok"/>
        </w:rPr>
        <w:t xml:space="preserve">plot.margin =</w:t>
      </w:r>
      <w:r>
        <w:rPr>
          <w:rStyle w:val="NormalTok"/>
        </w:rPr>
        <w:t xml:space="preserve"> </w:t>
      </w:r>
      <w:r>
        <w:rPr>
          <w:rStyle w:val="FunctionTok"/>
        </w:rPr>
        <w:t xml:space="preserve">unit</w:t>
      </w:r>
      <w:r>
        <w:rPr>
          <w:rStyle w:val="NormalTok"/>
        </w:rPr>
        <w:t xml:space="preserve">(</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4</w:t>
      </w:r>
      <w:r>
        <w:rPr>
          <w:rStyle w:val="NormalTok"/>
        </w:rPr>
        <w:t xml:space="preserve">), </w:t>
      </w:r>
      <w:r>
        <w:rPr>
          <w:rStyle w:val="StringTok"/>
        </w:rPr>
        <w:t xml:space="preserve">"lines"</w:t>
      </w:r>
      <w:r>
        <w:rPr>
          <w:rStyle w:val="NormalTok"/>
        </w:rPr>
        <w:t xml:space="preserve">),</w:t>
      </w:r>
      <w:r>
        <w:br/>
      </w:r>
      <w:r>
        <w:rPr>
          <w:rStyle w:val="NormalTok"/>
        </w:rPr>
        <w:t xml:space="preserve">        </w:t>
      </w:r>
      <w:r>
        <w:rPr>
          <w:rStyle w:val="AttributeTok"/>
        </w:rPr>
        <w:t xml:space="preserve">panel.background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axis.ticks =</w:t>
      </w:r>
      <w:r>
        <w:rPr>
          <w:rStyle w:val="NormalTok"/>
        </w:rPr>
        <w:t xml:space="preserve"> </w:t>
      </w:r>
      <w:r>
        <w:rPr>
          <w:rStyle w:val="FunctionTok"/>
        </w:rPr>
        <w:t xml:space="preserve">element_blank</w:t>
      </w:r>
      <w:r>
        <w:rPr>
          <w:rStyle w:val="NormalTok"/>
        </w:rPr>
        <w:t xml:space="preserve">()</w:t>
      </w:r>
      <w:r>
        <w:br/>
      </w:r>
      <w:r>
        <w:rPr>
          <w:rStyle w:val="NormalTok"/>
        </w:rPr>
        <w:t xml:space="preserve">    ) </w:t>
      </w:r>
      <w:r>
        <w:br/>
      </w:r>
      <w:r>
        <w:br/>
      </w:r>
      <w:r>
        <w:rPr>
          <w:rStyle w:val="NormalTok"/>
        </w:rPr>
        <w:t xml:space="preserve">scatter </w:t>
      </w:r>
      <w:r>
        <w:rPr>
          <w:rStyle w:val="OtherTok"/>
        </w:rPr>
        <w:t xml:space="preserve">&lt;-</w:t>
      </w:r>
      <w:r>
        <w:br/>
      </w:r>
      <w:r>
        <w:rPr>
          <w:rStyle w:val="NormalTok"/>
        </w:rPr>
        <w:t xml:space="preserve">  reanalysis_data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(effect_size))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(effect_size </w:t>
      </w:r>
      <w:r>
        <w:rPr>
          <w:rStyle w:val="SpecialCharTok"/>
        </w:rPr>
        <w:t xml:space="preserve">&lt;=</w:t>
      </w:r>
      <w:r>
        <w:rPr>
          <w:rStyle w:val="NormalTok"/>
        </w:rPr>
        <w:t xml:space="preserve"> </w:t>
      </w:r>
      <w:r>
        <w:rPr>
          <w:rStyle w:val="DecValTok"/>
        </w:rPr>
        <w:t xml:space="preserve">5</w:t>
      </w:r>
      <w:r>
        <w:rPr>
          <w:rStyle w:val="NormalTok"/>
        </w:rPr>
        <w:t xml:space="preserve"> </w:t>
      </w:r>
      <w:r>
        <w:rPr>
          <w:rStyle w:val="SpecialCharTok"/>
        </w:rPr>
        <w:t xml:space="preserve">&amp;</w:t>
      </w:r>
      <w:r>
        <w:rPr>
          <w:rStyle w:val="NormalTok"/>
        </w:rPr>
        <w:t xml:space="preserve"> effect_size </w:t>
      </w:r>
      <w:r>
        <w:rPr>
          <w:rStyle w:val="SpecialCharTok"/>
        </w:rPr>
        <w:t xml:space="preserve">&gt;=</w:t>
      </w:r>
      <w:r>
        <w:rPr>
          <w:rStyle w:val="NormalTok"/>
        </w:rPr>
        <w:t xml:space="preserve"> </w:t>
      </w:r>
      <w:r>
        <w:rPr>
          <w:rStyle w:val="SpecialCharTok"/>
        </w:rPr>
        <w:t xml:space="preserve">-</w:t>
      </w:r>
      <w:r>
        <w:rPr>
          <w:rStyle w:val="DecValTok"/>
        </w:rPr>
        <w:t xml:space="preserve">5</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filter</w:t>
      </w:r>
      <w:r>
        <w:rPr>
          <w:rStyle w:val="NormalTok"/>
        </w:rPr>
        <w:t xml:space="preserve">(original_cohens_d </w:t>
      </w:r>
      <w:r>
        <w:rPr>
          <w:rStyle w:val="SpecialCharTok"/>
        </w:rPr>
        <w:t xml:space="preserve">!=</w:t>
      </w:r>
      <w:r>
        <w:rPr>
          <w:rStyle w:val="NormalTok"/>
        </w:rPr>
        <w:t xml:space="preserve"> </w:t>
      </w:r>
      <w:r>
        <w:rPr>
          <w:rStyle w:val="SpecialCharTok"/>
        </w:rPr>
        <w:t xml:space="preserve">-</w:t>
      </w:r>
      <w:r>
        <w:rPr>
          <w:rStyle w:val="ConstantTok"/>
        </w:rPr>
        <w:t xml:space="preserve">Inf</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original_cohens_d, </w:t>
      </w:r>
      <w:r>
        <w:rPr>
          <w:rStyle w:val="AttributeTok"/>
        </w:rPr>
        <w:t xml:space="preserve">y =</w:t>
      </w:r>
      <w:r>
        <w:rPr>
          <w:rStyle w:val="NormalTok"/>
        </w:rPr>
        <w:t xml:space="preserve"> effect_size)) </w:t>
      </w:r>
      <w:r>
        <w:rPr>
          <w:rStyle w:val="SpecialCharTok"/>
        </w:rPr>
        <w:t xml:space="preserve">+</w:t>
      </w:r>
      <w:r>
        <w:br/>
      </w:r>
      <w:r>
        <w:rPr>
          <w:rStyle w:val="NormalTok"/>
        </w:rPr>
        <w:t xml:space="preserve">    </w:t>
      </w:r>
      <w:r>
        <w:rPr>
          <w:rStyle w:val="FunctionTok"/>
        </w:rPr>
        <w:t xml:space="preserve">geom_rug</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"Original"</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sides =</w:t>
      </w:r>
      <w:r>
        <w:rPr>
          <w:rStyle w:val="NormalTok"/>
        </w:rPr>
        <w:t xml:space="preserve"> </w:t>
      </w:r>
      <w:r>
        <w:rPr>
          <w:rStyle w:val="StringTok"/>
        </w:rPr>
        <w:t xml:space="preserve">"b"</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DecValTok"/>
        </w:rPr>
        <w:t xml:space="preserve">6</w:t>
      </w:r>
      <w:r>
        <w:rPr>
          <w:rStyle w:val="NormalTok"/>
        </w:rPr>
        <w:t xml:space="preserve">) </w:t>
      </w:r>
      <w:r>
        <w:rPr>
          <w:rStyle w:val="SpecialCharTok"/>
        </w:rPr>
        <w:t xml:space="preserve">+</w:t>
      </w:r>
      <w:r>
        <w:br/>
      </w:r>
      <w:r>
        <w:rPr>
          <w:rStyle w:val="NormalTok"/>
        </w:rPr>
        <w:t xml:space="preserve">  </w:t>
      </w:r>
      <w:r>
        <w:rPr>
          <w:rStyle w:val="FunctionTok"/>
        </w:rPr>
        <w:t xml:space="preserve">geom_rug</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"Replication"</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sides =</w:t>
      </w:r>
      <w:r>
        <w:rPr>
          <w:rStyle w:val="NormalTok"/>
        </w:rPr>
        <w:t xml:space="preserve"> </w:t>
      </w:r>
      <w:r>
        <w:rPr>
          <w:rStyle w:val="StringTok"/>
        </w:rPr>
        <w:t xml:space="preserve">"l"</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DecValTok"/>
        </w:rPr>
        <w:t xml:space="preserve">6</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colors) </w:t>
      </w:r>
      <w:r>
        <w:rPr>
          <w:rStyle w:val="SpecialCharTok"/>
        </w:rPr>
        <w:t xml:space="preserve">+</w:t>
      </w:r>
      <w:r>
        <w:rPr>
          <w:rStyle w:val="NormalTok"/>
        </w:rPr>
        <w:t xml:space="preserve"> </w:t>
      </w:r>
      <w:r>
        <w:br/>
      </w:r>
      <w:r>
        <w:rPr>
          <w:rStyle w:val="NormalTok"/>
        </w:rPr>
        <w:t xml:space="preserve">  </w:t>
      </w:r>
      <w:r>
        <w:rPr>
          <w:rStyle w:val="FunctionTok"/>
        </w:rPr>
        <w:t xml:space="preserve">geom_hline</w:t>
      </w:r>
      <w:r>
        <w:rPr>
          <w:rStyle w:val="NormalTok"/>
        </w:rPr>
        <w:t xml:space="preserve">(</w:t>
      </w:r>
      <w:r>
        <w:rPr>
          <w:rStyle w:val="FunctionTok"/>
        </w:rPr>
        <w:t xml:space="preserve">aes</w:t>
      </w:r>
      <w:r>
        <w:rPr>
          <w:rStyle w:val="NormalTok"/>
        </w:rPr>
        <w:t xml:space="preserve">(</w:t>
      </w:r>
      <w:r>
        <w:rPr>
          <w:rStyle w:val="AttributeTok"/>
        </w:rPr>
        <w:t xml:space="preserve">yintercept =</w:t>
      </w:r>
      <w:r>
        <w:rPr>
          <w:rStyle w:val="NormalTok"/>
        </w:rPr>
        <w:t xml:space="preserve"> </w:t>
      </w:r>
      <w:r>
        <w:rPr>
          <w:rStyle w:val="DecValTok"/>
        </w:rPr>
        <w:t xml:space="preserve">0</w:t>
      </w:r>
      <w:r>
        <w:rPr>
          <w:rStyle w:val="NormalTok"/>
        </w:rPr>
        <w:t xml:space="preserve">), </w:t>
      </w:r>
      <w:r>
        <w:rPr>
          <w:rStyle w:val="AttributeTok"/>
        </w:rPr>
        <w:t xml:space="preserve">linetype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geom_abline</w:t>
      </w:r>
      <w:r>
        <w:rPr>
          <w:rStyle w:val="NormalTok"/>
        </w:rPr>
        <w:t xml:space="preserve">(</w:t>
      </w:r>
      <w:r>
        <w:rPr>
          <w:rStyle w:val="AttributeTok"/>
        </w:rPr>
        <w:t xml:space="preserve">intercept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slope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"Grey60"</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alpha =</w:t>
      </w:r>
      <w:r>
        <w:rPr>
          <w:rStyle w:val="NormalTok"/>
        </w:rPr>
        <w:t xml:space="preserve"> </w:t>
      </w:r>
      <w:r>
        <w:rPr>
          <w:rStyle w:val="FloatTok"/>
        </w:rPr>
        <w:t xml:space="preserve">0.2</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"Grey30"</w:t>
      </w:r>
      <w:r>
        <w:rPr>
          <w:rStyle w:val="NormalTok"/>
        </w:rPr>
        <w:t xml:space="preserve">,</w:t>
      </w:r>
      <w:r>
        <w:br/>
      </w:r>
      <w:r>
        <w:rPr>
          <w:rStyle w:val="NormalTok"/>
        </w:rPr>
        <w:t xml:space="preserve">    </w:t>
      </w:r>
      <w:r>
        <w:rPr>
          <w:rStyle w:val="AttributeTok"/>
        </w:rPr>
        <w:t xml:space="preserve">shape =</w:t>
      </w:r>
      <w:r>
        <w:rPr>
          <w:rStyle w:val="NormalTok"/>
        </w:rPr>
        <w:t xml:space="preserve"> </w:t>
      </w:r>
      <w:r>
        <w:rPr>
          <w:rStyle w:val="DecValTok"/>
        </w:rPr>
        <w:t xml:space="preserve">21</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DecValTok"/>
        </w:rPr>
        <w:t xml:space="preserve">8</w:t>
      </w:r>
      <w:r>
        <w:br/>
      </w:r>
      <w:r>
        <w:rPr>
          <w:rStyle w:val="NormalTok"/>
        </w:rPr>
        <w:t xml:space="preserve">  )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br/>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 </w:t>
      </w:r>
      <w:r>
        <w:rPr>
          <w:rStyle w:val="FloatTok"/>
        </w:rPr>
        <w:t xml:space="preserve">2.5</w:t>
      </w:r>
      <w:r>
        <w:rPr>
          <w:rStyle w:val="NormalTok"/>
        </w:rPr>
        <w:t xml:space="preserve">, </w:t>
      </w:r>
      <w:r>
        <w:rPr>
          <w:rStyle w:val="DecValTok"/>
        </w:rPr>
        <w:t xml:space="preserve">3</w:t>
      </w:r>
      <w:r>
        <w:rPr>
          <w:rStyle w:val="NormalTok"/>
        </w:rPr>
        <w:t xml:space="preserve">, </w:t>
      </w:r>
      <w:r>
        <w:rPr>
          <w:rStyle w:val="FloatTok"/>
        </w:rPr>
        <w:t xml:space="preserve">3.5</w:t>
      </w:r>
      <w:r>
        <w:rPr>
          <w:rStyle w:val="NormalTok"/>
        </w:rPr>
        <w:t xml:space="preserve">, </w:t>
      </w:r>
      <w:r>
        <w:rPr>
          <w:rStyle w:val="DecValTok"/>
        </w:rPr>
        <w:t xml:space="preserve">4</w:t>
      </w:r>
      <w:r>
        <w:rPr>
          <w:rStyle w:val="NormalTok"/>
        </w:rPr>
        <w:t xml:space="preserve">, </w:t>
      </w:r>
      <w:r>
        <w:rPr>
          <w:rStyle w:val="FloatTok"/>
        </w:rPr>
        <w:t xml:space="preserve">4.5</w:t>
      </w:r>
      <w:r>
        <w:rPr>
          <w:rStyle w:val="NormalTok"/>
        </w:rPr>
        <w:t xml:space="preserve">, </w:t>
      </w:r>
      <w:r>
        <w:rPr>
          <w:rStyle w:val="DecValTok"/>
        </w:rPr>
        <w:t xml:space="preserve">5</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br/>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5</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4</w:t>
      </w:r>
      <w:r>
        <w:rPr>
          <w:rStyle w:val="NormalTok"/>
        </w:rPr>
        <w:t xml:space="preserve">, </w:t>
      </w:r>
      <w:r>
        <w:rPr>
          <w:rStyle w:val="SpecialCharTok"/>
        </w:rPr>
        <w:t xml:space="preserve">-</w:t>
      </w:r>
      <w:r>
        <w:rPr>
          <w:rStyle w:val="FloatTok"/>
        </w:rPr>
        <w:t xml:space="preserve">3.5</w:t>
      </w:r>
      <w:r>
        <w:rPr>
          <w:rStyle w:val="NormalTok"/>
        </w:rPr>
        <w:t xml:space="preserve">, </w:t>
      </w:r>
      <w:r>
        <w:rPr>
          <w:rStyle w:val="SpecialCharTok"/>
        </w:rPr>
        <w:t xml:space="preserve">-</w:t>
      </w:r>
      <w:r>
        <w:rPr>
          <w:rStyle w:val="DecValTok"/>
        </w:rPr>
        <w:t xml:space="preserve">3</w:t>
      </w:r>
      <w:r>
        <w:rPr>
          <w:rStyle w:val="NormalTok"/>
        </w:rPr>
        <w:t xml:space="preserve">, </w:t>
      </w:r>
      <w:r>
        <w:rPr>
          <w:rStyle w:val="SpecialCharTok"/>
        </w:rPr>
        <w:t xml:space="preserve">-</w:t>
      </w:r>
      <w:r>
        <w:rPr>
          <w:rStyle w:val="FloatTok"/>
        </w:rPr>
        <w:t xml:space="preserve">2.5</w:t>
      </w:r>
      <w:r>
        <w:rPr>
          <w:rStyle w:val="NormalTok"/>
        </w:rPr>
        <w:t xml:space="preserve">, </w:t>
      </w:r>
      <w:r>
        <w:rPr>
          <w:rStyle w:val="SpecialCharTok"/>
        </w:rPr>
        <w:t xml:space="preserve">-</w:t>
      </w:r>
      <w:r>
        <w:rPr>
          <w:rStyle w:val="DecValTok"/>
        </w:rPr>
        <w:t xml:space="preserve">2</w:t>
      </w:r>
      <w:r>
        <w:rPr>
          <w:rStyle w:val="NormalTok"/>
        </w:rPr>
        <w:t xml:space="preserve">, </w:t>
      </w:r>
      <w:r>
        <w:rPr>
          <w:rStyle w:val="SpecialCharTok"/>
        </w:rPr>
        <w:t xml:space="preserve">-</w:t>
      </w:r>
      <w:r>
        <w:rPr>
          <w:rStyle w:val="FloatTok"/>
        </w:rPr>
        <w:t xml:space="preserve">1.5</w:t>
      </w:r>
      <w:r>
        <w:rPr>
          <w:rStyle w:val="NormalTok"/>
        </w:rPr>
        <w:t xml:space="preserve">, </w:t>
      </w:r>
      <w:r>
        <w:rPr>
          <w:rStyle w:val="SpecialCharTok"/>
        </w:rPr>
        <w:t xml:space="preserve">-</w:t>
      </w:r>
      <w:r>
        <w:rPr>
          <w:rStyle w:val="DecValTok"/>
        </w:rPr>
        <w:t xml:space="preserve">1</w:t>
      </w:r>
      <w:r>
        <w:rPr>
          <w:rStyle w:val="NormalTok"/>
        </w:rPr>
        <w:t xml:space="preserve">, </w:t>
      </w:r>
      <w:r>
        <w:rPr>
          <w:rStyle w:val="SpecialCharTok"/>
        </w:rPr>
        <w:t xml:space="preserve">-</w:t>
      </w:r>
      <w:r>
        <w:rPr>
          <w:rStyle w:val="FloatTok"/>
        </w:rPr>
        <w:t xml:space="preserve">0.5</w:t>
      </w:r>
      <w:r>
        <w:rPr>
          <w:rStyle w:val="NormalTok"/>
        </w:rPr>
        <w:t xml:space="preserve">, </w:t>
      </w:r>
      <w:r>
        <w:rPr>
          <w:rStyle w:val="DecValTok"/>
        </w:rPr>
        <w:t xml:space="preserve">0</w:t>
      </w:r>
      <w:r>
        <w:rPr>
          <w:rStyle w:val="NormalTok"/>
        </w:rPr>
        <w:t xml:space="preserve">, .</w:t>
      </w:r>
      <w:r>
        <w:rPr>
          <w:rStyle w:val="DecValTok"/>
        </w:rPr>
        <w:t xml:space="preserve">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 </w:t>
      </w:r>
      <w:r>
        <w:rPr>
          <w:rStyle w:val="FloatTok"/>
        </w:rPr>
        <w:t xml:space="preserve">2.5</w:t>
      </w:r>
      <w:r>
        <w:rPr>
          <w:rStyle w:val="NormalTok"/>
        </w:rPr>
        <w:t xml:space="preserve">, </w:t>
      </w:r>
      <w:r>
        <w:rPr>
          <w:rStyle w:val="DecValTok"/>
        </w:rPr>
        <w:t xml:space="preserve">3</w:t>
      </w:r>
      <w:r>
        <w:rPr>
          <w:rStyle w:val="NormalTok"/>
        </w:rPr>
        <w:t xml:space="preserve">, </w:t>
      </w:r>
      <w:r>
        <w:rPr>
          <w:rStyle w:val="FloatTok"/>
        </w:rPr>
        <w:t xml:space="preserve">3.5</w:t>
      </w:r>
      <w:r>
        <w:rPr>
          <w:rStyle w:val="NormalTok"/>
        </w:rPr>
        <w:t xml:space="preserve">, </w:t>
      </w:r>
      <w:r>
        <w:rPr>
          <w:rStyle w:val="DecValTok"/>
        </w:rPr>
        <w:t xml:space="preserve">4</w:t>
      </w:r>
      <w:r>
        <w:rPr>
          <w:rStyle w:val="NormalTok"/>
        </w:rPr>
        <w:t xml:space="preserve">, </w:t>
      </w:r>
      <w:r>
        <w:rPr>
          <w:rStyle w:val="FloatTok"/>
        </w:rPr>
        <w:t xml:space="preserve">4.5</w:t>
      </w:r>
      <w:r>
        <w:rPr>
          <w:rStyle w:val="NormalTok"/>
        </w:rPr>
        <w:t xml:space="preserve">, </w:t>
      </w:r>
      <w:r>
        <w:rPr>
          <w:rStyle w:val="DecValTok"/>
        </w:rPr>
        <w:t xml:space="preserve">5</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"Original effect size in Cohen's d"</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"Reanalysis effect size in Cohen's d"</w:t>
      </w:r>
      <w:r>
        <w:rPr>
          <w:rStyle w:val="NormalTok"/>
        </w:rPr>
        <w:t xml:space="preserve">,</w:t>
      </w:r>
      <w:r>
        <w:br/>
      </w:r>
      <w:r>
        <w:rPr>
          <w:rStyle w:val="NormalTok"/>
        </w:rPr>
        <w:t xml:space="preserve">    </w:t>
      </w:r>
      <w:r>
        <w:rPr>
          <w:rStyle w:val="CommentTok"/>
        </w:rPr>
        <w:t xml:space="preserve"># color = "Type"</w:t>
      </w:r>
      <w:r>
        <w:br/>
      </w:r>
      <w:r>
        <w:rPr>
          <w:rStyle w:val="NormalTok"/>
        </w:rPr>
        <w:t xml:space="preserve">  )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CommentTok"/>
        </w:rPr>
        <w:t xml:space="preserve"># legend.position = c(.9, .6),</w:t>
      </w:r>
      <w:r>
        <w:br/>
      </w:r>
      <w:r>
        <w:rPr>
          <w:rStyle w:val="NormalTok"/>
        </w:rPr>
        <w:t xml:space="preserve">    </w:t>
      </w:r>
      <w:r>
        <w:rPr>
          <w:rStyle w:val="AttributeTok"/>
        </w:rPr>
        <w:t xml:space="preserve">plot.margin =</w:t>
      </w:r>
      <w:r>
        <w:rPr>
          <w:rStyle w:val="NormalTok"/>
        </w:rPr>
        <w:t xml:space="preserve"> </w:t>
      </w:r>
      <w:r>
        <w:rPr>
          <w:rStyle w:val="FunctionTok"/>
        </w:rPr>
        <w:t xml:space="preserve">unit</w:t>
      </w:r>
      <w:r>
        <w:rPr>
          <w:rStyle w:val="NormalTok"/>
        </w:rPr>
        <w:t xml:space="preserve">(</w:t>
      </w:r>
      <w:r>
        <w:rPr>
          <w:rStyle w:val="FunctionTok"/>
        </w:rPr>
        <w:t xml:space="preserve">c</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rPr>
          <w:rStyle w:val="FloatTok"/>
        </w:rPr>
        <w:t xml:space="preserve">1.5</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StringTok"/>
        </w:rPr>
        <w:t xml:space="preserve">"lines"</w:t>
      </w:r>
      <w:r>
        <w:rPr>
          <w:rStyle w:val="NormalTok"/>
        </w:rPr>
        <w:t xml:space="preserve">),</w:t>
      </w:r>
      <w:r>
        <w:br/>
      </w:r>
      <w:r>
        <w:rPr>
          <w:rStyle w:val="NormalTok"/>
        </w:rPr>
        <w:t xml:space="preserve">    </w:t>
      </w:r>
      <w:r>
        <w:rPr>
          <w:rStyle w:val="AttributeTok"/>
        </w:rPr>
        <w:t xml:space="preserve">panel.background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axis.line =</w:t>
      </w:r>
      <w:r>
        <w:rPr>
          <w:rStyle w:val="NormalTok"/>
        </w:rPr>
        <w:t xml:space="preserve"> </w:t>
      </w:r>
      <w:r>
        <w:rPr>
          <w:rStyle w:val="FunctionTok"/>
        </w:rPr>
        <w:t xml:space="preserve">element_line</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CommentTok"/>
        </w:rPr>
        <w:t xml:space="preserve"># axis.title = element_text(size = 9),</w:t>
      </w:r>
      <w:r>
        <w:br/>
      </w:r>
      <w:r>
        <w:rPr>
          <w:rStyle w:val="NormalTok"/>
        </w:rPr>
        <w:t xml:space="preserve">    </w:t>
      </w:r>
      <w:r>
        <w:rPr>
          <w:rStyle w:val="CommentTok"/>
        </w:rPr>
        <w:t xml:space="preserve"># legend.background = element_blank(),</w:t>
      </w:r>
      <w:r>
        <w:br/>
      </w:r>
      <w:r>
        <w:rPr>
          <w:rStyle w:val="NormalTok"/>
        </w:rPr>
        <w:t xml:space="preserve">    </w:t>
      </w:r>
      <w:r>
        <w:rPr>
          <w:rStyle w:val="CommentTok"/>
        </w:rPr>
        <w:t xml:space="preserve"># legend.box.background = element_blank(),</w:t>
      </w:r>
      <w:r>
        <w:br/>
      </w:r>
      <w:r>
        <w:rPr>
          <w:rStyle w:val="NormalTok"/>
        </w:rPr>
        <w:t xml:space="preserve">    </w:t>
      </w:r>
      <w:r>
        <w:rPr>
          <w:rStyle w:val="CommentTok"/>
        </w:rPr>
        <w:t xml:space="preserve"># legend.key = element_blank()</w:t>
      </w:r>
      <w:r>
        <w:br/>
      </w:r>
      <w:r>
        <w:rPr>
          <w:rStyle w:val="NormalTok"/>
        </w:rPr>
        <w:t xml:space="preserve">    </w:t>
      </w:r>
      <w:r>
        <w:rPr>
          <w:rStyle w:val="AttributeTok"/>
        </w:rPr>
        <w:t xml:space="preserve">legend.position =</w:t>
      </w:r>
      <w:r>
        <w:rPr>
          <w:rStyle w:val="NormalTok"/>
        </w:rPr>
        <w:t xml:space="preserve"> </w:t>
      </w:r>
      <w:r>
        <w:rPr>
          <w:rStyle w:val="StringTok"/>
        </w:rPr>
        <w:t xml:space="preserve">"none"</w:t>
      </w:r>
      <w:r>
        <w:br/>
      </w:r>
      <w:r>
        <w:rPr>
          <w:rStyle w:val="NormalTok"/>
        </w:rPr>
        <w:t xml:space="preserve">    ) </w:t>
      </w:r>
      <w:r>
        <w:br/>
      </w:r>
      <w:r>
        <w:br/>
      </w:r>
      <w:r>
        <w:rPr>
          <w:rStyle w:val="DocumentationTok"/>
        </w:rPr>
        <w:t xml:space="preserve">## Uncomment to save subplot</w:t>
      </w:r>
      <w:r>
        <w:br/>
      </w:r>
      <w:r>
        <w:rPr>
          <w:rStyle w:val="CommentTok"/>
        </w:rPr>
        <w:t xml:space="preserve"># ggsave("RPP_F3_scatter.png",plot=scatterP)</w:t>
      </w:r>
      <w:r>
        <w:br/>
      </w:r>
      <w:r>
        <w:br/>
      </w:r>
      <w:r>
        <w:rPr>
          <w:rStyle w:val="NormalTok"/>
        </w:rPr>
        <w:t xml:space="preserve">blank_plot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theme_void</w:t>
      </w:r>
      <w:r>
        <w:rPr>
          <w:rStyle w:val="NormalTok"/>
        </w:rPr>
        <w:t xml:space="preserve">()</w:t>
      </w:r>
      <w:r>
        <w:br/>
      </w:r>
      <w:r>
        <w:br/>
      </w:r>
      <w:r>
        <w:rPr>
          <w:rStyle w:val="NormalTok"/>
        </w:rPr>
        <w:t xml:space="preserve">effec_size_corr_plot </w:t>
      </w:r>
      <w:r>
        <w:rPr>
          <w:rStyle w:val="OtherTok"/>
        </w:rPr>
        <w:t xml:space="preserve">&lt;-</w:t>
      </w:r>
      <w:r>
        <w:rPr>
          <w:rStyle w:val="NormalTok"/>
        </w:rPr>
        <w:t xml:space="preserve"> gridExtra</w:t>
      </w:r>
      <w:r>
        <w:rPr>
          <w:rStyle w:val="SpecialCharTok"/>
        </w:rPr>
        <w:t xml:space="preserve">::</w:t>
      </w:r>
      <w:r>
        <w:rPr>
          <w:rStyle w:val="FunctionTok"/>
        </w:rPr>
        <w:t xml:space="preserve">grid.arrange</w:t>
      </w:r>
      <w:r>
        <w:rPr>
          <w:rStyle w:val="NormalTok"/>
        </w:rPr>
        <w:t xml:space="preserve">(x_dense, blank_plot, scatter, y_dense, </w:t>
      </w:r>
      <w:r>
        <w:rPr>
          <w:rStyle w:val="AttributeTok"/>
        </w:rPr>
        <w:t xml:space="preserve">ncol =</w:t>
      </w:r>
      <w:r>
        <w:rPr>
          <w:rStyle w:val="NormalTok"/>
        </w:rPr>
        <w:t xml:space="preserve"> </w:t>
      </w:r>
      <w:r>
        <w:rPr>
          <w:rStyle w:val="DecValTok"/>
        </w:rPr>
        <w:t xml:space="preserve">2</w:t>
      </w:r>
      <w:r>
        <w:rPr>
          <w:rStyle w:val="NormalTok"/>
        </w:rPr>
        <w:t xml:space="preserve">, </w:t>
      </w:r>
      <w:r>
        <w:rPr>
          <w:rStyle w:val="AttributeTok"/>
        </w:rPr>
        <w:t xml:space="preserve">nrow =</w:t>
      </w:r>
      <w:r>
        <w:rPr>
          <w:rStyle w:val="NormalTok"/>
        </w:rPr>
        <w:t xml:space="preserve"> </w:t>
      </w:r>
      <w:r>
        <w:rPr>
          <w:rStyle w:val="DecValTok"/>
        </w:rPr>
        <w:t xml:space="preserve">2</w:t>
      </w:r>
      <w:r>
        <w:br/>
      </w:r>
      <w:r>
        <w:rPr>
          <w:rStyle w:val="NormalTok"/>
        </w:rPr>
        <w:t xml:space="preserve">                                                , </w:t>
      </w:r>
      <w:r>
        <w:rPr>
          <w:rStyle w:val="AttributeTok"/>
        </w:rPr>
        <w:t xml:space="preserve">widths =</w:t>
      </w:r>
      <w:r>
        <w:rPr>
          <w:rStyle w:val="NormalTok"/>
        </w:rPr>
        <w:t xml:space="preserve"> </w:t>
      </w:r>
      <w:r>
        <w:rPr>
          <w:rStyle w:val="FunctionTok"/>
        </w:rPr>
        <w:t xml:space="preserve">c</w:t>
      </w:r>
      <w:r>
        <w:rPr>
          <w:rStyle w:val="NormalTok"/>
        </w:rPr>
        <w:t xml:space="preserve">(</w:t>
      </w:r>
      <w:r>
        <w:rPr>
          <w:rStyle w:val="DecValTok"/>
        </w:rPr>
        <w:t xml:space="preserve">4</w:t>
      </w:r>
      <w:r>
        <w:rPr>
          <w:rStyle w:val="NormalTok"/>
        </w:rPr>
        <w:t xml:space="preserve">, </w:t>
      </w:r>
      <w:r>
        <w:rPr>
          <w:rStyle w:val="FloatTok"/>
        </w:rPr>
        <w:t xml:space="preserve">1.4</w:t>
      </w:r>
      <w:r>
        <w:rPr>
          <w:rStyle w:val="NormalTok"/>
        </w:rPr>
        <w:t xml:space="preserve">), </w:t>
      </w:r>
      <w:r>
        <w:rPr>
          <w:rStyle w:val="AttributeTok"/>
        </w:rPr>
        <w:t xml:space="preserve">heights =</w:t>
      </w:r>
      <w:r>
        <w:rPr>
          <w:rStyle w:val="NormalTok"/>
        </w:rPr>
        <w:t xml:space="preserve"> </w:t>
      </w:r>
      <w:r>
        <w:rPr>
          <w:rStyle w:val="FunctionTok"/>
        </w:rPr>
        <w:t xml:space="preserve">c</w:t>
      </w:r>
      <w:r>
        <w:rPr>
          <w:rStyle w:val="NormalTok"/>
        </w:rPr>
        <w:t xml:space="preserve">(</w:t>
      </w:r>
      <w:r>
        <w:rPr>
          <w:rStyle w:val="FloatTok"/>
        </w:rPr>
        <w:t xml:space="preserve">1.4</w:t>
      </w:r>
      <w:r>
        <w:rPr>
          <w:rStyle w:val="NormalTok"/>
        </w:rPr>
        <w:t xml:space="preserve">, </w:t>
      </w:r>
      <w:r>
        <w:rPr>
          <w:rStyle w:val="DecValTok"/>
        </w:rPr>
        <w:t xml:space="preserve">4</w:t>
      </w:r>
      <w:r>
        <w:rPr>
          <w:rStyle w:val="NormalTok"/>
        </w:rPr>
        <w:t xml:space="preserve">)</w:t>
      </w:r>
      <w:r>
        <w:br/>
      </w:r>
      <w:r>
        <w:rPr>
          <w:rStyle w:val="NormalTok"/>
        </w:rPr>
        <w:t xml:space="preserve">                                                )</w:t>
      </w:r>
    </w:p>
    <w:p>
      <w:pPr>
        <w:pStyle w:val="SourceCode"/>
      </w:pPr>
      <w:r>
        <w:rPr>
          <w:rStyle w:val="VerbatimChar"/>
        </w:rPr>
        <w:t xml:space="preserve">Warning: The dot-dot notation (`..count..`) was deprecated in ggplot2 3.4.0.</w:t>
      </w:r>
      <w:r>
        <w:br/>
      </w:r>
      <w:r>
        <w:rPr>
          <w:rStyle w:val="VerbatimChar"/>
        </w:rPr>
        <w:t xml:space="preserve">ℹ Please use `after_stat(count)` instead.</w:t>
      </w:r>
    </w:p>
    <w:p>
      <w:pPr>
        <w:pStyle w:val="SourceCode"/>
      </w:pPr>
      <w:r>
        <w:rPr>
          <w:rStyle w:val="VerbatimChar"/>
        </w:rPr>
        <w:t xml:space="preserve">`geom_smooth()` using formula = 'y ~ x'</w:t>
      </w:r>
    </w:p>
    <w:p>
      <w:pPr>
        <w:pStyle w:val="FirstParagraph"/>
      </w:pPr>
      <w:r>
        <w:drawing>
          <wp:inline>
            <wp:extent cx="4620126" cy="3696101"/>
            <wp:effectExtent b="0" l="0" r="0" t="0"/>
            <wp:docPr descr="" title="" id="120" name="Picture"/>
            <a:graphic>
              <a:graphicData uri="http://schemas.openxmlformats.org/drawingml/2006/picture">
                <pic:pic>
                  <pic:nvPicPr>
                    <pic:cNvPr descr="multi100_results_files/figure-docx/unnamed-chunk-67-1.png" id="121" name="Picture"/>
                    <pic:cNvPicPr>
                      <a:picLocks noChangeArrowheads="1" noChangeAspect="1"/>
                    </pic:cNvPicPr>
                  </pic:nvPicPr>
                  <pic:blipFill>
                    <a:blip r:embed="rId11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SAVE combined plots as PDF</w:t>
      </w:r>
      <w:r>
        <w:br/>
      </w:r>
      <w:r>
        <w:rPr>
          <w:rStyle w:val="NormalTok"/>
        </w:rPr>
        <w:t xml:space="preserve">ggplot2</w:t>
      </w:r>
      <w:r>
        <w:rPr>
          <w:rStyle w:val="SpecialCharTok"/>
        </w:rPr>
        <w:t xml:space="preserve">::</w:t>
      </w:r>
      <w:r>
        <w:rPr>
          <w:rStyle w:val="FunctionTok"/>
        </w:rPr>
        <w:t xml:space="preserve">ggsave</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"figures/effec_size_corr_plot.jpg"</w:t>
      </w:r>
      <w:r>
        <w:rPr>
          <w:rStyle w:val="NormalTok"/>
        </w:rPr>
        <w:t xml:space="preserve">), </w:t>
      </w:r>
      <w:r>
        <w:rPr>
          <w:rStyle w:val="AttributeTok"/>
        </w:rPr>
        <w:t xml:space="preserve">plot =</w:t>
      </w:r>
      <w:r>
        <w:rPr>
          <w:rStyle w:val="NormalTok"/>
        </w:rPr>
        <w:t xml:space="preserve"> effec_size_corr_plot,</w:t>
      </w:r>
      <w:r>
        <w:br/>
      </w:r>
      <w:r>
        <w:rPr>
          <w:rStyle w:val="NormalTok"/>
        </w:rPr>
        <w:t xml:space="preserve">                </w:t>
      </w:r>
      <w:r>
        <w:rPr>
          <w:rStyle w:val="AttributeTok"/>
        </w:rPr>
        <w:t xml:space="preserve">width =</w:t>
      </w:r>
      <w:r>
        <w:rPr>
          <w:rStyle w:val="NormalTok"/>
        </w:rPr>
        <w:t xml:space="preserve"> </w:t>
      </w:r>
      <w:r>
        <w:rPr>
          <w:rStyle w:val="DecValTok"/>
        </w:rPr>
        <w:t xml:space="preserve">13</w:t>
      </w:r>
      <w:r>
        <w:rPr>
          <w:rStyle w:val="NormalTok"/>
        </w:rPr>
        <w:t xml:space="preserve">, </w:t>
      </w:r>
      <w:r>
        <w:rPr>
          <w:rStyle w:val="AttributeTok"/>
        </w:rPr>
        <w:t xml:space="preserve">height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dpi =</w:t>
      </w:r>
      <w:r>
        <w:rPr>
          <w:rStyle w:val="NormalTok"/>
        </w:rPr>
        <w:t xml:space="preserve"> </w:t>
      </w:r>
      <w:r>
        <w:rPr>
          <w:rStyle w:val="DecValTok"/>
        </w:rPr>
        <w:t xml:space="preserve">300</w:t>
      </w:r>
      <w:r>
        <w:rPr>
          <w:rStyle w:val="NormalTok"/>
        </w:rPr>
        <w:t xml:space="preserve">)</w:t>
      </w:r>
      <w:r>
        <w:br/>
      </w:r>
      <w:r>
        <w:br/>
      </w:r>
      <w:r>
        <w:rPr>
          <w:rStyle w:val="NormalTok"/>
        </w:rPr>
        <w:t xml:space="preserve">effec_size_corr_plot</w:t>
      </w:r>
    </w:p>
    <w:p>
      <w:pPr>
        <w:pStyle w:val="SourceCode"/>
      </w:pPr>
      <w:r>
        <w:rPr>
          <w:rStyle w:val="VerbatimChar"/>
        </w:rPr>
        <w:t xml:space="preserve">TableGrob (2 x 2) "arrange": 4 grobs</w:t>
      </w:r>
      <w:r>
        <w:br/>
      </w:r>
      <w:r>
        <w:rPr>
          <w:rStyle w:val="VerbatimChar"/>
        </w:rPr>
        <w:t xml:space="preserve">  z     cells    name           grob</w:t>
      </w:r>
      <w:r>
        <w:br/>
      </w:r>
      <w:r>
        <w:rPr>
          <w:rStyle w:val="VerbatimChar"/>
        </w:rPr>
        <w:t xml:space="preserve">1 1 (1-1,1-1) arrange gtable[layout]</w:t>
      </w:r>
      <w:r>
        <w:br/>
      </w:r>
      <w:r>
        <w:rPr>
          <w:rStyle w:val="VerbatimChar"/>
        </w:rPr>
        <w:t xml:space="preserve">2 2 (1-1,2-2) arrange gtable[layout]</w:t>
      </w:r>
      <w:r>
        <w:br/>
      </w:r>
      <w:r>
        <w:rPr>
          <w:rStyle w:val="VerbatimChar"/>
        </w:rPr>
        <w:t xml:space="preserve">3 3 (2-2,1-1) arrange gtable[layout]</w:t>
      </w:r>
      <w:r>
        <w:br/>
      </w:r>
      <w:r>
        <w:rPr>
          <w:rStyle w:val="VerbatimChar"/>
        </w:rPr>
        <w:t xml:space="preserve">4 4 (2-2,2-2) arrange gtable[layout]</w:t>
      </w:r>
    </w:p>
    <w:p>
      <w:pPr>
        <w:pStyle w:val="FirstParagraph"/>
      </w:pPr>
      <w:r>
        <w:t xml:space="preserve">We found that 96% (89 out of 93) of the studies contained at least one re-analysis result where the effect size was beyond the tolerance region (+/- 0.05 Cohen’s d) of the result of the original study (</w:t>
      </w:r>
      <w:hyperlink w:anchor="fig-effect-region-all">
        <w:r>
          <w:rPr>
            <w:rStyle w:val="Hyperlink"/>
          </w:rPr>
          <w:t xml:space="preserve">Figure 22</w:t>
        </w:r>
      </w:hyperlink>
      <w:r>
        <w:t xml:space="preserve">). Out of the 417 available reanalysis effect sizes 68.59% (286) were outside of the tolerance region.</w:t>
      </w:r>
    </w:p>
    <w:tbl>
      <w:tblPr>
        <w:tblStyle w:val="Table"/>
        <w:tblW w:type="pct" w:w="5000"/>
        <w:tblLook w:firstRow="0" w:lastRow="0" w:firstColumn="0" w:lastColumn="0" w:noHBand="0" w:noVBand="0" w:val="0000"/>
        <w:jc w:val="start"/>
      </w:tblPr>
      <w:tblGrid>
        <w:gridCol w:w="7920"/>
      </w:tblGrid>
      <w:tr>
        <w:tc>
          <w:tcPr/>
          <w:bookmarkStart w:id="125" w:name="fig-effect-region-all"/>
          <w:p>
            <w:pPr>
              <w:jc w:val="center"/>
            </w:pPr>
            <w:r>
              <w:drawing>
                <wp:inline>
                  <wp:extent cx="4620126" cy="3696101"/>
                  <wp:effectExtent b="0" l="0" r="0" t="0"/>
                  <wp:docPr descr="" title="" id="123" name="Picture"/>
                  <a:graphic>
                    <a:graphicData uri="http://schemas.openxmlformats.org/drawingml/2006/picture">
                      <pic:pic>
                        <pic:nvPicPr>
                          <pic:cNvPr descr="multi100_results_files/figure-docx/fig-effect-region-all-1.png" id="124" name="Picture"/>
                          <pic:cNvPicPr>
                            <a:picLocks noChangeArrowheads="1" noChangeAspect="1"/>
                          </pic:cNvPicPr>
                        </pic:nvPicPr>
                        <pic:blipFill>
                          <a:blip r:embed="rId122"/>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22: The figure shows percentages of the effect sizes falling within the preset tolerance range (+/- 0.05 Cohen’s d) for each study. Study numbers correspond to studies listed in Table S1.</w:t>
            </w:r>
          </w:p>
          <w:bookmarkEnd w:id="125"/>
        </w:tc>
      </w:tr>
    </w:tbl>
    <w:p>
      <w:pPr>
        <w:pStyle w:val="BodyText"/>
      </w:pPr>
      <w:r>
        <w:t xml:space="preserve">To investigate the robustness of our tolerance region threshold we calculated the proportion of reanalysis effect size estimates within the tolerance region for a range of thresholds between 0.05 and 0.1.</w:t>
      </w:r>
    </w:p>
    <w:p>
      <w:pPr>
        <w:pStyle w:val="SourceCode"/>
      </w:pPr>
      <w:r>
        <w:rPr>
          <w:rStyle w:val="NormalTok"/>
        </w:rPr>
        <w:t xml:space="preserve">thresholds </w:t>
      </w:r>
      <w:r>
        <w:rPr>
          <w:rStyle w:val="OtherTok"/>
        </w:rPr>
        <w:t xml:space="preserve">&lt;-</w:t>
      </w:r>
      <w:r>
        <w:rPr>
          <w:rStyle w:val="NormalTok"/>
        </w:rPr>
        <w:t xml:space="preserve"> </w:t>
      </w:r>
      <w:r>
        <w:rPr>
          <w:rStyle w:val="FunctionTok"/>
        </w:rPr>
        <w:t xml:space="preserve">seq</w:t>
      </w:r>
      <w:r>
        <w:rPr>
          <w:rStyle w:val="NormalTok"/>
        </w:rPr>
        <w:t xml:space="preserve">(</w:t>
      </w:r>
      <w:r>
        <w:rPr>
          <w:rStyle w:val="FloatTok"/>
        </w:rPr>
        <w:t xml:space="preserve">0.01</w:t>
      </w:r>
      <w:r>
        <w:rPr>
          <w:rStyle w:val="NormalTok"/>
        </w:rPr>
        <w:t xml:space="preserve">, </w:t>
      </w:r>
      <w:r>
        <w:rPr>
          <w:rStyle w:val="FloatTok"/>
        </w:rPr>
        <w:t xml:space="preserve">0.5</w:t>
      </w:r>
      <w:r>
        <w:rPr>
          <w:rStyle w:val="NormalTok"/>
        </w:rPr>
        <w:t xml:space="preserve">, </w:t>
      </w:r>
      <w:r>
        <w:rPr>
          <w:rStyle w:val="AttributeTok"/>
        </w:rPr>
        <w:t xml:space="preserve">by =</w:t>
      </w:r>
      <w:r>
        <w:rPr>
          <w:rStyle w:val="NormalTok"/>
        </w:rPr>
        <w:t xml:space="preserve"> </w:t>
      </w:r>
      <w:r>
        <w:rPr>
          <w:rStyle w:val="FloatTok"/>
        </w:rPr>
        <w:t xml:space="preserve">0.001</w:t>
      </w:r>
      <w:r>
        <w:rPr>
          <w:rStyle w:val="NormalTok"/>
        </w:rPr>
        <w:t xml:space="preserve">)</w:t>
      </w:r>
      <w:r>
        <w:br/>
      </w:r>
      <w:r>
        <w:br/>
      </w:r>
      <w:r>
        <w:rPr>
          <w:rStyle w:val="NormalTok"/>
        </w:rPr>
        <w:t xml:space="preserve">threshold_robustness_plot_data </w:t>
      </w:r>
      <w:r>
        <w:rPr>
          <w:rStyle w:val="OtherTok"/>
        </w:rPr>
        <w:t xml:space="preserve">&lt;-</w:t>
      </w:r>
      <w:r>
        <w:rPr>
          <w:rStyle w:val="NormalTok"/>
        </w:rPr>
        <w:t xml:space="preserve"> </w:t>
      </w:r>
      <w:r>
        <w:rPr>
          <w:rStyle w:val="FunctionTok"/>
        </w:rPr>
        <w:t xml:space="preserve">map_df</w:t>
      </w:r>
      <w:r>
        <w:rPr>
          <w:rStyle w:val="NormalTok"/>
        </w:rPr>
        <w:t xml:space="preserve">(thresholds, </w:t>
      </w:r>
      <w:r>
        <w:rPr>
          <w:rStyle w:val="SpecialCharTok"/>
        </w:rPr>
        <w:t xml:space="preserve">~</w:t>
      </w:r>
      <w:r>
        <w:rPr>
          <w:rStyle w:val="NormalTok"/>
        </w:rPr>
        <w:t xml:space="preserve"> </w:t>
      </w:r>
      <w:r>
        <w:rPr>
          <w:rStyle w:val="FunctionTok"/>
        </w:rPr>
        <w:t xml:space="preserve">calculate_tolerance_region_proportions</w:t>
      </w:r>
      <w:r>
        <w:rPr>
          <w:rStyle w:val="NormalTok"/>
        </w:rPr>
        <w:t xml:space="preserve">(processed, </w:t>
      </w:r>
      <w:r>
        <w:rPr>
          <w:rStyle w:val="AttributeTok"/>
        </w:rPr>
        <w:t xml:space="preserve">threshold =</w:t>
      </w:r>
      <w:r>
        <w:rPr>
          <w:rStyle w:val="NormalTok"/>
        </w:rPr>
        <w:t xml:space="preserve"> .x, </w:t>
      </w:r>
      <w:r>
        <w:rPr>
          <w:rStyle w:val="AttributeTok"/>
        </w:rPr>
        <w:t xml:space="preserve">weight =</w:t>
      </w:r>
      <w:r>
        <w:rPr>
          <w:rStyle w:val="NormalTok"/>
        </w:rPr>
        <w:t xml:space="preserve"> </w:t>
      </w:r>
      <w:r>
        <w:rPr>
          <w:rStyle w:val="ConstantTok"/>
        </w:rPr>
        <w:t xml:space="preserve">NULL</w:t>
      </w:r>
      <w:r>
        <w:rPr>
          <w:rStyle w:val="NormalTok"/>
        </w:rPr>
        <w:t xml:space="preserve">))</w:t>
      </w:r>
      <w:r>
        <w:br/>
      </w:r>
      <w:r>
        <w:br/>
      </w:r>
      <w:r>
        <w:rPr>
          <w:rStyle w:val="NormalTok"/>
        </w:rPr>
        <w:t xml:space="preserve">threshold_robustness_plot_data </w:t>
      </w:r>
      <w:r>
        <w:rPr>
          <w:rStyle w:val="OtherTok"/>
        </w:rPr>
        <w:t xml:space="preserve">&lt;-</w:t>
      </w:r>
      <w:r>
        <w:br/>
      </w:r>
      <w:r>
        <w:rPr>
          <w:rStyle w:val="NormalTok"/>
        </w:rPr>
        <w:t xml:space="preserve">  threshold_robustness_plot_data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tolerance_region =</w:t>
      </w:r>
      <w:r>
        <w:rPr>
          <w:rStyle w:val="NormalTok"/>
        </w:rPr>
        <w:t xml:space="preserve"> threshold </w:t>
      </w:r>
      <w:r>
        <w:rPr>
          <w:rStyle w:val="SpecialCharTok"/>
        </w:rPr>
        <w:t xml:space="preserve">*</w:t>
      </w:r>
      <w:r>
        <w:rPr>
          <w:rStyle w:val="NormalTok"/>
        </w:rPr>
        <w:t xml:space="preserve"> </w:t>
      </w:r>
      <w:r>
        <w:rPr>
          <w:rStyle w:val="DecValTok"/>
        </w:rPr>
        <w:t xml:space="preserve">2</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pivot_longer</w:t>
      </w:r>
      <w:r>
        <w:rPr>
          <w:rStyle w:val="NormalTok"/>
        </w:rPr>
        <w:t xml:space="preserve">(</w:t>
      </w:r>
      <w:r>
        <w:br/>
      </w:r>
      <w:r>
        <w:rPr>
          <w:rStyle w:val="NormalTok"/>
        </w:rPr>
        <w:t xml:space="preserve">    </w:t>
      </w:r>
      <w:r>
        <w:rPr>
          <w:rStyle w:val="AttributeTok"/>
        </w:rPr>
        <w:t xml:space="preserve">cols =</w:t>
      </w:r>
      <w:r>
        <w:rPr>
          <w:rStyle w:val="NormalTok"/>
        </w:rPr>
        <w:t xml:space="preserve"> </w:t>
      </w:r>
      <w:r>
        <w:rPr>
          <w:rStyle w:val="FunctionTok"/>
        </w:rPr>
        <w:t xml:space="preserve">c</w:t>
      </w:r>
      <w:r>
        <w:rPr>
          <w:rStyle w:val="NormalTok"/>
        </w:rPr>
        <w:t xml:space="preserve">(analysis_percentage, paper_percentage),</w:t>
      </w:r>
      <w:r>
        <w:br/>
      </w:r>
      <w:r>
        <w:rPr>
          <w:rStyle w:val="NormalTok"/>
        </w:rPr>
        <w:t xml:space="preserve">    </w:t>
      </w:r>
      <w:r>
        <w:rPr>
          <w:rStyle w:val="AttributeTok"/>
        </w:rPr>
        <w:t xml:space="preserve">names_to =</w:t>
      </w:r>
      <w:r>
        <w:rPr>
          <w:rStyle w:val="NormalTok"/>
        </w:rPr>
        <w:t xml:space="preserve"> </w:t>
      </w:r>
      <w:r>
        <w:rPr>
          <w:rStyle w:val="StringTok"/>
        </w:rPr>
        <w:t xml:space="preserve">"type"</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"value"</w:t>
      </w:r>
      <w:r>
        <w:rPr>
          <w:rStyle w:val="NormalTok"/>
        </w:rPr>
        <w:t xml:space="preserve">,</w:t>
      </w:r>
      <w:r>
        <w:br/>
      </w:r>
      <w:r>
        <w:rPr>
          <w:rStyle w:val="NormalTok"/>
        </w:rPr>
        <w:t xml:space="preserve">    </w:t>
      </w:r>
      <w:r>
        <w:rPr>
          <w:rStyle w:val="AttributeTok"/>
        </w:rPr>
        <w:t xml:space="preserve">names_prefix =</w:t>
      </w:r>
      <w:r>
        <w:rPr>
          <w:rStyle w:val="NormalTok"/>
        </w:rPr>
        <w:t xml:space="preserve"> </w:t>
      </w:r>
      <w:r>
        <w:rPr>
          <w:rStyle w:val="StringTok"/>
        </w:rPr>
        <w:t xml:space="preserve">"_percentage"</w:t>
      </w:r>
      <w:r>
        <w:br/>
      </w:r>
      <w:r>
        <w:rPr>
          <w:rStyle w:val="NormalTok"/>
        </w:rPr>
        <w:t xml:space="preserve">  )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type =</w:t>
      </w:r>
      <w:r>
        <w:rPr>
          <w:rStyle w:val="NormalTok"/>
        </w:rPr>
        <w:t xml:space="preserve">  stringr</w:t>
      </w:r>
      <w:r>
        <w:rPr>
          <w:rStyle w:val="SpecialCharTok"/>
        </w:rPr>
        <w:t xml:space="preserve">::</w:t>
      </w:r>
      <w:r>
        <w:rPr>
          <w:rStyle w:val="FunctionTok"/>
        </w:rPr>
        <w:t xml:space="preserve">str_replace</w:t>
      </w:r>
      <w:r>
        <w:rPr>
          <w:rStyle w:val="NormalTok"/>
        </w:rPr>
        <w:t xml:space="preserve">(type, </w:t>
      </w:r>
      <w:r>
        <w:rPr>
          <w:rStyle w:val="StringTok"/>
        </w:rPr>
        <w:t xml:space="preserve">"_percentage"</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type =</w:t>
      </w:r>
      <w:r>
        <w:rPr>
          <w:rStyle w:val="NormalTok"/>
        </w:rPr>
        <w:t xml:space="preserve"> dplyr</w:t>
      </w:r>
      <w:r>
        <w:rPr>
          <w:rStyle w:val="SpecialCharTok"/>
        </w:rPr>
        <w:t xml:space="preserve">::</w:t>
      </w:r>
      <w:r>
        <w:rPr>
          <w:rStyle w:val="FunctionTok"/>
        </w:rPr>
        <w:t xml:space="preserve">case_when</w:t>
      </w:r>
      <w:r>
        <w:rPr>
          <w:rStyle w:val="NormalTok"/>
        </w:rPr>
        <w:t xml:space="preserve">(</w:t>
      </w:r>
      <w:r>
        <w:br/>
      </w:r>
      <w:r>
        <w:rPr>
          <w:rStyle w:val="NormalTok"/>
        </w:rPr>
        <w:t xml:space="preserve">      type </w:t>
      </w:r>
      <w:r>
        <w:rPr>
          <w:rStyle w:val="SpecialCharTok"/>
        </w:rPr>
        <w:t xml:space="preserve">==</w:t>
      </w:r>
      <w:r>
        <w:rPr>
          <w:rStyle w:val="NormalTok"/>
        </w:rPr>
        <w:t xml:space="preserve"> </w:t>
      </w:r>
      <w:r>
        <w:rPr>
          <w:rStyle w:val="StringTok"/>
        </w:rPr>
        <w:t xml:space="preserve">"analysis"</w:t>
      </w:r>
      <w:r>
        <w:rPr>
          <w:rStyle w:val="NormalTok"/>
        </w:rPr>
        <w:t xml:space="preserve"> </w:t>
      </w:r>
      <w:r>
        <w:rPr>
          <w:rStyle w:val="SpecialCharTok"/>
        </w:rPr>
        <w:t xml:space="preserve">~</w:t>
      </w:r>
      <w:r>
        <w:rPr>
          <w:rStyle w:val="NormalTok"/>
        </w:rPr>
        <w:t xml:space="preserve"> </w:t>
      </w:r>
      <w:r>
        <w:rPr>
          <w:rStyle w:val="StringTok"/>
        </w:rPr>
        <w:t xml:space="preserve">"Re-analysis effect sizes"</w:t>
      </w:r>
      <w:r>
        <w:rPr>
          <w:rStyle w:val="NormalTok"/>
        </w:rPr>
        <w:t xml:space="preserve">,</w:t>
      </w:r>
      <w:r>
        <w:br/>
      </w:r>
      <w:r>
        <w:rPr>
          <w:rStyle w:val="NormalTok"/>
        </w:rPr>
        <w:t xml:space="preserve">      type </w:t>
      </w:r>
      <w:r>
        <w:rPr>
          <w:rStyle w:val="SpecialCharTok"/>
        </w:rPr>
        <w:t xml:space="preserve">==</w:t>
      </w:r>
      <w:r>
        <w:rPr>
          <w:rStyle w:val="NormalTok"/>
        </w:rPr>
        <w:t xml:space="preserve"> </w:t>
      </w:r>
      <w:r>
        <w:rPr>
          <w:rStyle w:val="StringTok"/>
        </w:rPr>
        <w:t xml:space="preserve">"paper"</w:t>
      </w:r>
      <w:r>
        <w:rPr>
          <w:rStyle w:val="NormalTok"/>
        </w:rPr>
        <w:t xml:space="preserve"> </w:t>
      </w:r>
      <w:r>
        <w:rPr>
          <w:rStyle w:val="SpecialCharTok"/>
        </w:rPr>
        <w:t xml:space="preserve">~</w:t>
      </w:r>
      <w:r>
        <w:rPr>
          <w:rStyle w:val="NormalTok"/>
        </w:rPr>
        <w:t xml:space="preserve"> </w:t>
      </w:r>
      <w:r>
        <w:rPr>
          <w:rStyle w:val="StringTok"/>
        </w:rPr>
        <w:t xml:space="preserve">"Papers"</w:t>
      </w:r>
      <w:r>
        <w:br/>
      </w:r>
      <w:r>
        <w:rPr>
          <w:rStyle w:val="NormalTok"/>
        </w:rPr>
        <w:t xml:space="preserve">    )</w:t>
      </w:r>
      <w:r>
        <w:br/>
      </w:r>
      <w:r>
        <w:rPr>
          <w:rStyle w:val="NormalTok"/>
        </w:rPr>
        <w:t xml:space="preserve">  )</w:t>
      </w:r>
    </w:p>
    <w:p>
      <w:pPr>
        <w:pStyle w:val="SourceCode"/>
      </w:pPr>
      <w:r>
        <w:rPr>
          <w:rStyle w:val="NormalTok"/>
        </w:rPr>
        <w:t xml:space="preserve">threshold_robustness_plot </w:t>
      </w:r>
      <w:r>
        <w:rPr>
          <w:rStyle w:val="OtherTok"/>
        </w:rPr>
        <w:t xml:space="preserve">&lt;-</w:t>
      </w:r>
      <w:r>
        <w:br/>
      </w:r>
      <w:r>
        <w:rPr>
          <w:rStyle w:val="NormalTok"/>
        </w:rPr>
        <w:t xml:space="preserve">  threshold_robustness_plot_data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aes</w:t>
      </w:r>
      <w:r>
        <w:rPr>
          <w:rStyle w:val="NormalTok"/>
        </w:rPr>
        <w:t xml:space="preserve">(</w:t>
      </w:r>
      <w:r>
        <w:br/>
      </w:r>
      <w:r>
        <w:rPr>
          <w:rStyle w:val="NormalTok"/>
        </w:rPr>
        <w:t xml:space="preserve">    </w:t>
      </w:r>
      <w:r>
        <w:rPr>
          <w:rStyle w:val="AttributeTok"/>
        </w:rPr>
        <w:t xml:space="preserve">x =</w:t>
      </w:r>
      <w:r>
        <w:rPr>
          <w:rStyle w:val="NormalTok"/>
        </w:rPr>
        <w:t xml:space="preserve"> tolerance_region,</w:t>
      </w:r>
      <w:r>
        <w:br/>
      </w:r>
      <w:r>
        <w:rPr>
          <w:rStyle w:val="NormalTok"/>
        </w:rPr>
        <w:t xml:space="preserve">    </w:t>
      </w:r>
      <w:r>
        <w:rPr>
          <w:rStyle w:val="AttributeTok"/>
        </w:rPr>
        <w:t xml:space="preserve">y =</w:t>
      </w:r>
      <w:r>
        <w:rPr>
          <w:rStyle w:val="NormalTok"/>
        </w:rPr>
        <w:t xml:space="preserve"> value,</w:t>
      </w:r>
      <w:r>
        <w:br/>
      </w:r>
      <w:r>
        <w:rPr>
          <w:rStyle w:val="NormalTok"/>
        </w:rPr>
        <w:t xml:space="preserve">    </w:t>
      </w:r>
      <w:r>
        <w:rPr>
          <w:rStyle w:val="AttributeTok"/>
        </w:rPr>
        <w:t xml:space="preserve">linetype =</w:t>
      </w:r>
      <w:r>
        <w:rPr>
          <w:rStyle w:val="NormalTok"/>
        </w:rPr>
        <w:t xml:space="preserve"> type</w:t>
      </w:r>
      <w:r>
        <w:br/>
      </w:r>
      <w:r>
        <w:rPr>
          <w:rStyle w:val="NormalTok"/>
        </w:rPr>
        <w:t xml:space="preserve">  )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FloatTok"/>
        </w:rPr>
        <w:t xml:space="preserve">0.1</w:t>
      </w:r>
      <w:r>
        <w:rPr>
          <w:rStyle w:val="NormalTok"/>
        </w:rPr>
        <w:t xml:space="preserve">, </w:t>
      </w:r>
      <w:r>
        <w:rPr>
          <w:rStyle w:val="AttributeTok"/>
        </w:rPr>
        <w:t xml:space="preserve">color =</w:t>
      </w:r>
      <w:r>
        <w:rPr>
          <w:rStyle w:val="NormalTok"/>
        </w:rPr>
        <w:t xml:space="preserve"> </w:t>
      </w:r>
      <w:r>
        <w:rPr>
          <w:rStyle w:val="StringTok"/>
        </w:rPr>
        <w:t xml:space="preserve">"#440154FF"</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FloatTok"/>
        </w:rPr>
        <w:t xml:space="preserve">0.01</w:t>
      </w:r>
      <w:r>
        <w:rPr>
          <w:rStyle w:val="NormalTok"/>
        </w:rPr>
        <w:t xml:space="preserve">, </w:t>
      </w:r>
      <w:r>
        <w:rPr>
          <w:rStyle w:val="FunctionTok"/>
        </w:rPr>
        <w:t xml:space="preserve">seq</w:t>
      </w:r>
      <w:r>
        <w:rPr>
          <w:rStyle w:val="NormalTok"/>
        </w:rPr>
        <w:t xml:space="preserve">(</w:t>
      </w:r>
      <w:r>
        <w:rPr>
          <w:rStyle w:val="FloatTok"/>
        </w:rPr>
        <w:t xml:space="preserve">0.05</w:t>
      </w:r>
      <w:r>
        <w:rPr>
          <w:rStyle w:val="NormalTok"/>
        </w:rPr>
        <w:t xml:space="preserve">, </w:t>
      </w:r>
      <w:r>
        <w:rPr>
          <w:rStyle w:val="FloatTok"/>
        </w:rPr>
        <w:t xml:space="preserve">0.5</w:t>
      </w:r>
      <w:r>
        <w:rPr>
          <w:rStyle w:val="NormalTok"/>
        </w:rPr>
        <w:t xml:space="preserve">, </w:t>
      </w:r>
      <w:r>
        <w:rPr>
          <w:rStyle w:val="AttributeTok"/>
        </w:rPr>
        <w:t xml:space="preserve">by =</w:t>
      </w:r>
      <w:r>
        <w:rPr>
          <w:rStyle w:val="NormalTok"/>
        </w:rPr>
        <w:t xml:space="preserve"> </w:t>
      </w:r>
      <w:r>
        <w:rPr>
          <w:rStyle w:val="FloatTok"/>
        </w:rPr>
        <w:t xml:space="preserve">0.05</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AttributeTok"/>
        </w:rPr>
        <w:t xml:space="preserve">expand =</w:t>
      </w:r>
      <w:r>
        <w:rPr>
          <w:rStyle w:val="NormalTok"/>
        </w:rPr>
        <w:t xml:space="preserve"> </w:t>
      </w:r>
      <w:r>
        <w:rPr>
          <w:rStyle w:val="FunctionTok"/>
        </w:rPr>
        <w:t xml:space="preserve">c</w:t>
      </w:r>
      <w:r>
        <w:rPr>
          <w:rStyle w:val="NormalTok"/>
        </w:rPr>
        <w:t xml:space="preserve">(</w:t>
      </w:r>
      <w:r>
        <w:rPr>
          <w:rStyle w:val="FloatTok"/>
        </w:rPr>
        <w:t xml:space="preserve">0.05</w:t>
      </w:r>
      <w:r>
        <w:rPr>
          <w:rStyle w:val="NormalTok"/>
        </w:rPr>
        <w:t xml:space="preserve">, </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FunctionTok"/>
        </w:rPr>
        <w:t xml:space="preserve">percent_format</w:t>
      </w:r>
      <w:r>
        <w:rPr>
          <w:rStyle w:val="NormalTok"/>
        </w:rPr>
        <w:t xml:space="preserve">(</w:t>
      </w:r>
      <w:r>
        <w:rPr>
          <w:rStyle w:val="AttributeTok"/>
        </w:rPr>
        <w:t xml:space="preserve">scale =</w:t>
      </w:r>
      <w:r>
        <w:rPr>
          <w:rStyle w:val="NormalTok"/>
        </w:rPr>
        <w:t xml:space="preserve"> </w:t>
      </w:r>
      <w:r>
        <w:rPr>
          <w:rStyle w:val="DecValTok"/>
        </w:rPr>
        <w:t xml:space="preserve">1</w:t>
      </w:r>
      <w:r>
        <w:rPr>
          <w:rStyle w:val="NormalTok"/>
        </w:rPr>
        <w:t xml:space="preserve">), </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70</w:t>
      </w:r>
      <w:r>
        <w:rPr>
          <w:rStyle w:val="NormalTok"/>
        </w:rPr>
        <w:t xml:space="preserve">, </w:t>
      </w:r>
      <w:r>
        <w:rPr>
          <w:rStyle w:val="DecValTok"/>
        </w:rPr>
        <w:t xml:space="preserve">10</w:t>
      </w:r>
      <w:r>
        <w:rPr>
          <w:rStyle w:val="NormalTok"/>
        </w:rPr>
        <w:t xml:space="preserve">)) </w:t>
      </w:r>
      <w:r>
        <w:rPr>
          <w:rStyle w:val="SpecialCharTok"/>
        </w:rPr>
        <w:t xml:space="preserve">+</w:t>
      </w:r>
      <w:r>
        <w:br/>
      </w:r>
      <w:r>
        <w:rPr>
          <w:rStyle w:val="NormalTok"/>
        </w:rPr>
        <w:t xml:space="preserve">  viridis</w:t>
      </w:r>
      <w:r>
        <w:rPr>
          <w:rStyle w:val="SpecialCharTok"/>
        </w:rPr>
        <w:t xml:space="preserve">::</w:t>
      </w:r>
      <w:r>
        <w:rPr>
          <w:rStyle w:val="FunctionTok"/>
        </w:rPr>
        <w:t xml:space="preserve">scale_fill_viridis</w:t>
      </w:r>
      <w:r>
        <w:rPr>
          <w:rStyle w:val="NormalTok"/>
        </w:rPr>
        <w:t xml:space="preserve">(</w:t>
      </w:r>
      <w:r>
        <w:rPr>
          <w:rStyle w:val="AttributeTok"/>
        </w:rPr>
        <w:t xml:space="preserve">discrete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"Width of the Cohen's d tolerance region"</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"Percentage within the tolerance region"</w:t>
      </w:r>
      <w:r>
        <w:rPr>
          <w:rStyle w:val="NormalTok"/>
        </w:rPr>
        <w:t xml:space="preserve">,</w:t>
      </w:r>
      <w:r>
        <w:br/>
      </w:r>
      <w:r>
        <w:rPr>
          <w:rStyle w:val="NormalTok"/>
        </w:rPr>
        <w:t xml:space="preserve">    </w:t>
      </w:r>
      <w:r>
        <w:rPr>
          <w:rStyle w:val="AttributeTok"/>
        </w:rPr>
        <w:t xml:space="preserve">linetype =</w:t>
      </w:r>
      <w:r>
        <w:rPr>
          <w:rStyle w:val="NormalTok"/>
        </w:rPr>
        <w:t xml:space="preserve"> </w:t>
      </w:r>
      <w:r>
        <w:rPr>
          <w:rStyle w:val="StringTok"/>
        </w:rPr>
        <w:t xml:space="preserve">"Percentage of"</w:t>
      </w:r>
      <w:r>
        <w:br/>
      </w:r>
      <w:r>
        <w:rPr>
          <w:rStyle w:val="NormalTok"/>
        </w:rPr>
        <w:t xml:space="preserve">  ) </w:t>
      </w:r>
      <w:r>
        <w:rPr>
          <w:rStyle w:val="SpecialCharTok"/>
        </w:rPr>
        <w:t xml:space="preserve">+</w:t>
      </w:r>
      <w:r>
        <w:br/>
      </w:r>
      <w:r>
        <w:rPr>
          <w:rStyle w:val="NormalTok"/>
        </w:rPr>
        <w:t xml:space="preserve">  ggplot2</w:t>
      </w:r>
      <w:r>
        <w:rPr>
          <w:rStyle w:val="SpecialCharTok"/>
        </w:rPr>
        <w:t xml:space="preserve">::</w:t>
      </w:r>
      <w:r>
        <w:rPr>
          <w:rStyle w:val="FunctionTok"/>
        </w:rPr>
        <w:t xml:space="preserve">theme</w:t>
      </w:r>
      <w:r>
        <w:rPr>
          <w:rStyle w:val="NormalTok"/>
        </w:rPr>
        <w:t xml:space="preserve">(</w:t>
      </w:r>
      <w:r>
        <w:br/>
      </w:r>
      <w:r>
        <w:rPr>
          <w:rStyle w:val="NormalTok"/>
        </w:rPr>
        <w:t xml:space="preserve">    </w:t>
      </w:r>
      <w:r>
        <w:rPr>
          <w:rStyle w:val="AttributeTok"/>
        </w:rPr>
        <w:t xml:space="preserve">panel.background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axis.line =</w:t>
      </w:r>
      <w:r>
        <w:rPr>
          <w:rStyle w:val="NormalTok"/>
        </w:rPr>
        <w:t xml:space="preserve"> </w:t>
      </w:r>
      <w:r>
        <w:rPr>
          <w:rStyle w:val="FunctionTok"/>
        </w:rPr>
        <w:t xml:space="preserve">element_line</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w:t>
      </w:r>
      <w:r>
        <w:br/>
      </w:r>
      <w:r>
        <w:rPr>
          <w:rStyle w:val="NormalTok"/>
        </w:rPr>
        <w:t xml:space="preserve">  )</w:t>
      </w:r>
      <w:r>
        <w:br/>
      </w:r>
      <w:r>
        <w:br/>
      </w:r>
      <w:r>
        <w:rPr>
          <w:rStyle w:val="NormalTok"/>
        </w:rPr>
        <w:t xml:space="preserve">ggplot2</w:t>
      </w:r>
      <w:r>
        <w:rPr>
          <w:rStyle w:val="SpecialCharTok"/>
        </w:rPr>
        <w:t xml:space="preserve">::</w:t>
      </w:r>
      <w:r>
        <w:rPr>
          <w:rStyle w:val="FunctionTok"/>
        </w:rPr>
        <w:t xml:space="preserve">ggsave</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"figures/threshold_robustness_plot.jpg"</w:t>
      </w:r>
      <w:r>
        <w:rPr>
          <w:rStyle w:val="NormalTok"/>
        </w:rPr>
        <w:t xml:space="preserve">), threshold_robustness_plot, </w:t>
      </w:r>
      <w:r>
        <w:rPr>
          <w:rStyle w:val="AttributeTok"/>
        </w:rPr>
        <w:t xml:space="preserve">height =</w:t>
      </w:r>
      <w:r>
        <w:rPr>
          <w:rStyle w:val="NormalTok"/>
        </w:rPr>
        <w:t xml:space="preserve"> </w:t>
      </w:r>
      <w:r>
        <w:rPr>
          <w:rStyle w:val="DecValTok"/>
        </w:rPr>
        <w:t xml:space="preserve">4</w:t>
      </w:r>
      <w:r>
        <w:rPr>
          <w:rStyle w:val="NormalTok"/>
        </w:rPr>
        <w:t xml:space="preserve">, </w:t>
      </w:r>
      <w:r>
        <w:rPr>
          <w:rStyle w:val="AttributeTok"/>
        </w:rPr>
        <w:t xml:space="preserve">dpi =</w:t>
      </w:r>
      <w:r>
        <w:rPr>
          <w:rStyle w:val="NormalTok"/>
        </w:rPr>
        <w:t xml:space="preserve"> </w:t>
      </w:r>
      <w:r>
        <w:rPr>
          <w:rStyle w:val="DecValTok"/>
        </w:rPr>
        <w:t xml:space="preserve">300</w:t>
      </w:r>
      <w:r>
        <w:rPr>
          <w:rStyle w:val="NormalTok"/>
        </w:rPr>
        <w:t xml:space="preserve">)</w:t>
      </w:r>
    </w:p>
    <w:p>
      <w:pPr>
        <w:pStyle w:val="SourceCode"/>
      </w:pPr>
      <w:r>
        <w:rPr>
          <w:rStyle w:val="VerbatimChar"/>
        </w:rPr>
        <w:t xml:space="preserve">Saving 5 x 4 in image</w:t>
      </w:r>
    </w:p>
    <w:p>
      <w:pPr>
        <w:pStyle w:val="SourceCode"/>
      </w:pPr>
      <w:r>
        <w:rPr>
          <w:rStyle w:val="NormalTok"/>
        </w:rPr>
        <w:t xml:space="preserve">threshold_robustness_plot</w:t>
      </w:r>
    </w:p>
    <w:p>
      <w:pPr>
        <w:pStyle w:val="FirstParagraph"/>
      </w:pPr>
      <w:r>
        <w:drawing>
          <wp:inline>
            <wp:extent cx="4620126" cy="3696101"/>
            <wp:effectExtent b="0" l="0" r="0" t="0"/>
            <wp:docPr descr="" title="" id="127" name="Picture"/>
            <a:graphic>
              <a:graphicData uri="http://schemas.openxmlformats.org/drawingml/2006/picture">
                <pic:pic>
                  <pic:nvPicPr>
                    <pic:cNvPr descr="multi100_results_files/figure-docx/unnamed-chunk-71-1.png" id="128" name="Picture"/>
                    <pic:cNvPicPr>
                      <a:picLocks noChangeArrowheads="1" noChangeAspect="1"/>
                    </pic:cNvPicPr>
                  </pic:nvPicPr>
                  <pic:blipFill>
                    <a:blip r:embed="rId1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weights </w:t>
      </w:r>
      <w:r>
        <w:rPr>
          <w:rStyle w:val="OtherTok"/>
        </w:rPr>
        <w:t xml:space="preserve">&lt;-</w:t>
      </w:r>
      <w:r>
        <w:rPr>
          <w:rStyle w:val="NormalTok"/>
        </w:rPr>
        <w:t xml:space="preserve"> </w:t>
      </w:r>
      <w:r>
        <w:rPr>
          <w:rStyle w:val="FunctionTok"/>
        </w:rPr>
        <w:t xml:space="preserve">seq</w:t>
      </w:r>
      <w:r>
        <w:rPr>
          <w:rStyle w:val="NormalTok"/>
        </w:rPr>
        <w:t xml:space="preserve">(</w:t>
      </w:r>
      <w:r>
        <w:rPr>
          <w:rStyle w:val="FloatTok"/>
        </w:rPr>
        <w:t xml:space="preserve">0.05</w:t>
      </w:r>
      <w:r>
        <w:rPr>
          <w:rStyle w:val="NormalTok"/>
        </w:rPr>
        <w:t xml:space="preserve">, </w:t>
      </w:r>
      <w:r>
        <w:rPr>
          <w:rStyle w:val="FloatTok"/>
        </w:rPr>
        <w:t xml:space="preserve">0.2</w:t>
      </w:r>
      <w:r>
        <w:rPr>
          <w:rStyle w:val="NormalTok"/>
        </w:rPr>
        <w:t xml:space="preserve">, </w:t>
      </w:r>
      <w:r>
        <w:rPr>
          <w:rStyle w:val="AttributeTok"/>
        </w:rPr>
        <w:t xml:space="preserve">by =</w:t>
      </w:r>
      <w:r>
        <w:rPr>
          <w:rStyle w:val="NormalTok"/>
        </w:rPr>
        <w:t xml:space="preserve"> </w:t>
      </w:r>
      <w:r>
        <w:rPr>
          <w:rStyle w:val="FloatTok"/>
        </w:rPr>
        <w:t xml:space="preserve">0.001</w:t>
      </w:r>
      <w:r>
        <w:rPr>
          <w:rStyle w:val="NormalTok"/>
        </w:rPr>
        <w:t xml:space="preserve">)</w:t>
      </w:r>
      <w:r>
        <w:br/>
      </w:r>
      <w:r>
        <w:br/>
      </w:r>
      <w:r>
        <w:rPr>
          <w:rStyle w:val="NormalTok"/>
        </w:rPr>
        <w:t xml:space="preserve">threshold_weighted_robustness_plot_data </w:t>
      </w:r>
      <w:r>
        <w:rPr>
          <w:rStyle w:val="OtherTok"/>
        </w:rPr>
        <w:t xml:space="preserve">&lt;-</w:t>
      </w:r>
      <w:r>
        <w:rPr>
          <w:rStyle w:val="NormalTok"/>
        </w:rPr>
        <w:t xml:space="preserve"> </w:t>
      </w:r>
      <w:r>
        <w:rPr>
          <w:rStyle w:val="FunctionTok"/>
        </w:rPr>
        <w:t xml:space="preserve">map_df</w:t>
      </w:r>
      <w:r>
        <w:rPr>
          <w:rStyle w:val="NormalTok"/>
        </w:rPr>
        <w:t xml:space="preserve">(weights, </w:t>
      </w:r>
      <w:r>
        <w:rPr>
          <w:rStyle w:val="SpecialCharTok"/>
        </w:rPr>
        <w:t xml:space="preserve">~</w:t>
      </w:r>
      <w:r>
        <w:rPr>
          <w:rStyle w:val="NormalTok"/>
        </w:rPr>
        <w:t xml:space="preserve"> </w:t>
      </w:r>
      <w:r>
        <w:rPr>
          <w:rStyle w:val="FunctionTok"/>
        </w:rPr>
        <w:t xml:space="preserve">calculate_tolerance_region_proportions</w:t>
      </w:r>
      <w:r>
        <w:rPr>
          <w:rStyle w:val="NormalTok"/>
        </w:rPr>
        <w:t xml:space="preserve">(processed, </w:t>
      </w:r>
      <w:r>
        <w:rPr>
          <w:rStyle w:val="AttributeTok"/>
        </w:rPr>
        <w:t xml:space="preserve">threshold =</w:t>
      </w:r>
      <w:r>
        <w:rPr>
          <w:rStyle w:val="NormalTok"/>
        </w:rPr>
        <w:t xml:space="preserve"> </w:t>
      </w:r>
      <w:r>
        <w:rPr>
          <w:rStyle w:val="ConstantTok"/>
        </w:rPr>
        <w:t xml:space="preserve">NULL</w:t>
      </w:r>
      <w:r>
        <w:rPr>
          <w:rStyle w:val="NormalTok"/>
        </w:rPr>
        <w:t xml:space="preserve">, </w:t>
      </w:r>
      <w:r>
        <w:rPr>
          <w:rStyle w:val="AttributeTok"/>
        </w:rPr>
        <w:t xml:space="preserve">weight =</w:t>
      </w:r>
      <w:r>
        <w:rPr>
          <w:rStyle w:val="NormalTok"/>
        </w:rPr>
        <w:t xml:space="preserve"> .x))</w:t>
      </w:r>
      <w:r>
        <w:br/>
      </w:r>
      <w:r>
        <w:br/>
      </w:r>
      <w:r>
        <w:rPr>
          <w:rStyle w:val="NormalTok"/>
        </w:rPr>
        <w:t xml:space="preserve">threshold_weighted_robustness_plot_data </w:t>
      </w:r>
      <w:r>
        <w:rPr>
          <w:rStyle w:val="OtherTok"/>
        </w:rPr>
        <w:t xml:space="preserve">&lt;-</w:t>
      </w:r>
      <w:r>
        <w:br/>
      </w:r>
      <w:r>
        <w:rPr>
          <w:rStyle w:val="NormalTok"/>
        </w:rPr>
        <w:t xml:space="preserve">  threshold_weighted_robustness_plot_data </w:t>
      </w:r>
      <w:r>
        <w:rPr>
          <w:rStyle w:val="SpecialCharTok"/>
        </w:rPr>
        <w:t xml:space="preserve">|&gt;</w:t>
      </w:r>
      <w:r>
        <w:rPr>
          <w:rStyle w:val="NormalTok"/>
        </w:rPr>
        <w:t xml:space="preserve"> </w:t>
      </w:r>
      <w:r>
        <w:br/>
      </w:r>
      <w:r>
        <w:rPr>
          <w:rStyle w:val="NormalTok"/>
        </w:rPr>
        <w:t xml:space="preserve">    </w:t>
      </w:r>
      <w:r>
        <w:rPr>
          <w:rStyle w:val="FunctionTok"/>
        </w:rPr>
        <w:t xml:space="preserve">pivot_longer</w:t>
      </w:r>
      <w:r>
        <w:rPr>
          <w:rStyle w:val="NormalTok"/>
        </w:rPr>
        <w:t xml:space="preserve">(</w:t>
      </w:r>
      <w:r>
        <w:br/>
      </w:r>
      <w:r>
        <w:rPr>
          <w:rStyle w:val="NormalTok"/>
        </w:rPr>
        <w:t xml:space="preserve">    </w:t>
      </w:r>
      <w:r>
        <w:rPr>
          <w:rStyle w:val="AttributeTok"/>
        </w:rPr>
        <w:t xml:space="preserve">cols =</w:t>
      </w:r>
      <w:r>
        <w:rPr>
          <w:rStyle w:val="NormalTok"/>
        </w:rPr>
        <w:t xml:space="preserve"> </w:t>
      </w:r>
      <w:r>
        <w:rPr>
          <w:rStyle w:val="FunctionTok"/>
        </w:rPr>
        <w:t xml:space="preserve">c</w:t>
      </w:r>
      <w:r>
        <w:rPr>
          <w:rStyle w:val="NormalTok"/>
        </w:rPr>
        <w:t xml:space="preserve">(analysis_percentage, paper_percentage),</w:t>
      </w:r>
      <w:r>
        <w:br/>
      </w:r>
      <w:r>
        <w:rPr>
          <w:rStyle w:val="NormalTok"/>
        </w:rPr>
        <w:t xml:space="preserve">    </w:t>
      </w:r>
      <w:r>
        <w:rPr>
          <w:rStyle w:val="AttributeTok"/>
        </w:rPr>
        <w:t xml:space="preserve">names_to =</w:t>
      </w:r>
      <w:r>
        <w:rPr>
          <w:rStyle w:val="NormalTok"/>
        </w:rPr>
        <w:t xml:space="preserve"> </w:t>
      </w:r>
      <w:r>
        <w:rPr>
          <w:rStyle w:val="StringTok"/>
        </w:rPr>
        <w:t xml:space="preserve">"type"</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"value"</w:t>
      </w:r>
      <w:r>
        <w:rPr>
          <w:rStyle w:val="NormalTok"/>
        </w:rPr>
        <w:t xml:space="preserve">,</w:t>
      </w:r>
      <w:r>
        <w:br/>
      </w:r>
      <w:r>
        <w:rPr>
          <w:rStyle w:val="NormalTok"/>
        </w:rPr>
        <w:t xml:space="preserve">    </w:t>
      </w:r>
      <w:r>
        <w:rPr>
          <w:rStyle w:val="AttributeTok"/>
        </w:rPr>
        <w:t xml:space="preserve">names_prefix =</w:t>
      </w:r>
      <w:r>
        <w:rPr>
          <w:rStyle w:val="NormalTok"/>
        </w:rPr>
        <w:t xml:space="preserve"> </w:t>
      </w:r>
      <w:r>
        <w:rPr>
          <w:rStyle w:val="StringTok"/>
        </w:rPr>
        <w:t xml:space="preserve">"_percentage"</w:t>
      </w:r>
      <w:r>
        <w:br/>
      </w:r>
      <w:r>
        <w:rPr>
          <w:rStyle w:val="NormalTok"/>
        </w:rPr>
        <w:t xml:space="preserve">  )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type =</w:t>
      </w:r>
      <w:r>
        <w:rPr>
          <w:rStyle w:val="NormalTok"/>
        </w:rPr>
        <w:t xml:space="preserve">  stringr</w:t>
      </w:r>
      <w:r>
        <w:rPr>
          <w:rStyle w:val="SpecialCharTok"/>
        </w:rPr>
        <w:t xml:space="preserve">::</w:t>
      </w:r>
      <w:r>
        <w:rPr>
          <w:rStyle w:val="FunctionTok"/>
        </w:rPr>
        <w:t xml:space="preserve">str_replace</w:t>
      </w:r>
      <w:r>
        <w:rPr>
          <w:rStyle w:val="NormalTok"/>
        </w:rPr>
        <w:t xml:space="preserve">(type, </w:t>
      </w:r>
      <w:r>
        <w:rPr>
          <w:rStyle w:val="StringTok"/>
        </w:rPr>
        <w:t xml:space="preserve">"_percentage"</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type =</w:t>
      </w:r>
      <w:r>
        <w:rPr>
          <w:rStyle w:val="NormalTok"/>
        </w:rPr>
        <w:t xml:space="preserve"> dplyr</w:t>
      </w:r>
      <w:r>
        <w:rPr>
          <w:rStyle w:val="SpecialCharTok"/>
        </w:rPr>
        <w:t xml:space="preserve">::</w:t>
      </w:r>
      <w:r>
        <w:rPr>
          <w:rStyle w:val="FunctionTok"/>
        </w:rPr>
        <w:t xml:space="preserve">case_when</w:t>
      </w:r>
      <w:r>
        <w:rPr>
          <w:rStyle w:val="NormalTok"/>
        </w:rPr>
        <w:t xml:space="preserve">(</w:t>
      </w:r>
      <w:r>
        <w:br/>
      </w:r>
      <w:r>
        <w:rPr>
          <w:rStyle w:val="NormalTok"/>
        </w:rPr>
        <w:t xml:space="preserve">      type </w:t>
      </w:r>
      <w:r>
        <w:rPr>
          <w:rStyle w:val="SpecialCharTok"/>
        </w:rPr>
        <w:t xml:space="preserve">==</w:t>
      </w:r>
      <w:r>
        <w:rPr>
          <w:rStyle w:val="NormalTok"/>
        </w:rPr>
        <w:t xml:space="preserve"> </w:t>
      </w:r>
      <w:r>
        <w:rPr>
          <w:rStyle w:val="StringTok"/>
        </w:rPr>
        <w:t xml:space="preserve">"analysis"</w:t>
      </w:r>
      <w:r>
        <w:rPr>
          <w:rStyle w:val="NormalTok"/>
        </w:rPr>
        <w:t xml:space="preserve"> </w:t>
      </w:r>
      <w:r>
        <w:rPr>
          <w:rStyle w:val="SpecialCharTok"/>
        </w:rPr>
        <w:t xml:space="preserve">~</w:t>
      </w:r>
      <w:r>
        <w:rPr>
          <w:rStyle w:val="NormalTok"/>
        </w:rPr>
        <w:t xml:space="preserve"> </w:t>
      </w:r>
      <w:r>
        <w:rPr>
          <w:rStyle w:val="StringTok"/>
        </w:rPr>
        <w:t xml:space="preserve">"Re-analysis effect sizes"</w:t>
      </w:r>
      <w:r>
        <w:rPr>
          <w:rStyle w:val="NormalTok"/>
        </w:rPr>
        <w:t xml:space="preserve">,</w:t>
      </w:r>
      <w:r>
        <w:br/>
      </w:r>
      <w:r>
        <w:rPr>
          <w:rStyle w:val="NormalTok"/>
        </w:rPr>
        <w:t xml:space="preserve">      type </w:t>
      </w:r>
      <w:r>
        <w:rPr>
          <w:rStyle w:val="SpecialCharTok"/>
        </w:rPr>
        <w:t xml:space="preserve">==</w:t>
      </w:r>
      <w:r>
        <w:rPr>
          <w:rStyle w:val="NormalTok"/>
        </w:rPr>
        <w:t xml:space="preserve"> </w:t>
      </w:r>
      <w:r>
        <w:rPr>
          <w:rStyle w:val="StringTok"/>
        </w:rPr>
        <w:t xml:space="preserve">"paper"</w:t>
      </w:r>
      <w:r>
        <w:rPr>
          <w:rStyle w:val="NormalTok"/>
        </w:rPr>
        <w:t xml:space="preserve"> </w:t>
      </w:r>
      <w:r>
        <w:rPr>
          <w:rStyle w:val="SpecialCharTok"/>
        </w:rPr>
        <w:t xml:space="preserve">~</w:t>
      </w:r>
      <w:r>
        <w:rPr>
          <w:rStyle w:val="NormalTok"/>
        </w:rPr>
        <w:t xml:space="preserve"> </w:t>
      </w:r>
      <w:r>
        <w:rPr>
          <w:rStyle w:val="StringTok"/>
        </w:rPr>
        <w:t xml:space="preserve">"Papers"</w:t>
      </w:r>
      <w:r>
        <w:br/>
      </w:r>
      <w:r>
        <w:rPr>
          <w:rStyle w:val="NormalTok"/>
        </w:rPr>
        <w:t xml:space="preserve">    )</w:t>
      </w:r>
      <w:r>
        <w:br/>
      </w:r>
      <w:r>
        <w:rPr>
          <w:rStyle w:val="NormalTok"/>
        </w:rPr>
        <w:t xml:space="preserve">  )</w:t>
      </w:r>
    </w:p>
    <w:p>
      <w:pPr>
        <w:pStyle w:val="SourceCode"/>
      </w:pPr>
      <w:r>
        <w:rPr>
          <w:rStyle w:val="NormalTok"/>
        </w:rPr>
        <w:t xml:space="preserve">threshold_weighted_robustness_plot </w:t>
      </w:r>
      <w:r>
        <w:rPr>
          <w:rStyle w:val="OtherTok"/>
        </w:rPr>
        <w:t xml:space="preserve">&lt;-</w:t>
      </w:r>
      <w:r>
        <w:br/>
      </w:r>
      <w:r>
        <w:rPr>
          <w:rStyle w:val="NormalTok"/>
        </w:rPr>
        <w:t xml:space="preserve">  threshold_weighted_robustness_plot_data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aes</w:t>
      </w:r>
      <w:r>
        <w:rPr>
          <w:rStyle w:val="NormalTok"/>
        </w:rPr>
        <w:t xml:space="preserve">(</w:t>
      </w:r>
      <w:r>
        <w:br/>
      </w:r>
      <w:r>
        <w:rPr>
          <w:rStyle w:val="NormalTok"/>
        </w:rPr>
        <w:t xml:space="preserve">    </w:t>
      </w:r>
      <w:r>
        <w:rPr>
          <w:rStyle w:val="AttributeTok"/>
        </w:rPr>
        <w:t xml:space="preserve">x =</w:t>
      </w:r>
      <w:r>
        <w:rPr>
          <w:rStyle w:val="NormalTok"/>
        </w:rPr>
        <w:t xml:space="preserve"> weight,</w:t>
      </w:r>
      <w:r>
        <w:br/>
      </w:r>
      <w:r>
        <w:rPr>
          <w:rStyle w:val="NormalTok"/>
        </w:rPr>
        <w:t xml:space="preserve">    </w:t>
      </w:r>
      <w:r>
        <w:rPr>
          <w:rStyle w:val="AttributeTok"/>
        </w:rPr>
        <w:t xml:space="preserve">y =</w:t>
      </w:r>
      <w:r>
        <w:rPr>
          <w:rStyle w:val="NormalTok"/>
        </w:rPr>
        <w:t xml:space="preserve"> value,</w:t>
      </w:r>
      <w:r>
        <w:br/>
      </w:r>
      <w:r>
        <w:rPr>
          <w:rStyle w:val="NormalTok"/>
        </w:rPr>
        <w:t xml:space="preserve">    </w:t>
      </w:r>
      <w:r>
        <w:rPr>
          <w:rStyle w:val="AttributeTok"/>
        </w:rPr>
        <w:t xml:space="preserve">linetype =</w:t>
      </w:r>
      <w:r>
        <w:rPr>
          <w:rStyle w:val="NormalTok"/>
        </w:rPr>
        <w:t xml:space="preserve"> type</w:t>
      </w:r>
      <w:r>
        <w:br/>
      </w:r>
      <w:r>
        <w:rPr>
          <w:rStyle w:val="NormalTok"/>
        </w:rPr>
        <w:t xml:space="preserve">  )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FloatTok"/>
        </w:rPr>
        <w:t xml:space="preserve">0.05</w:t>
      </w:r>
      <w:r>
        <w:rPr>
          <w:rStyle w:val="NormalTok"/>
        </w:rPr>
        <w:t xml:space="preserve">, </w:t>
      </w:r>
      <w:r>
        <w:rPr>
          <w:rStyle w:val="FloatTok"/>
        </w:rPr>
        <w:t xml:space="preserve">0.2</w:t>
      </w:r>
      <w:r>
        <w:rPr>
          <w:rStyle w:val="NormalTok"/>
        </w:rPr>
        <w:t xml:space="preserve">, </w:t>
      </w:r>
      <w:r>
        <w:rPr>
          <w:rStyle w:val="AttributeTok"/>
        </w:rPr>
        <w:t xml:space="preserve">by =</w:t>
      </w:r>
      <w:r>
        <w:rPr>
          <w:rStyle w:val="NormalTok"/>
        </w:rPr>
        <w:t xml:space="preserve"> </w:t>
      </w:r>
      <w:r>
        <w:rPr>
          <w:rStyle w:val="FloatTok"/>
        </w:rPr>
        <w:t xml:space="preserve">0.05</w:t>
      </w:r>
      <w:r>
        <w:rPr>
          <w:rStyle w:val="NormalTok"/>
        </w:rPr>
        <w:t xml:space="preserve">), </w:t>
      </w:r>
      <w:r>
        <w:rPr>
          <w:rStyle w:val="AttributeTok"/>
        </w:rPr>
        <w:t xml:space="preserve">labels =</w:t>
      </w:r>
      <w:r>
        <w:rPr>
          <w:rStyle w:val="NormalTok"/>
        </w:rPr>
        <w:t xml:space="preserve"> scales</w:t>
      </w:r>
      <w:r>
        <w:rPr>
          <w:rStyle w:val="SpecialCharTok"/>
        </w:rPr>
        <w:t xml:space="preserve">::</w:t>
      </w:r>
      <w:r>
        <w:rPr>
          <w:rStyle w:val="FunctionTok"/>
        </w:rPr>
        <w:t xml:space="preserve">percent_format</w:t>
      </w:r>
      <w:r>
        <w:rPr>
          <w:rStyle w:val="NormalTok"/>
        </w:rPr>
        <w:t xml:space="preserve">(</w:t>
      </w:r>
      <w:r>
        <w:rPr>
          <w:rStyle w:val="AttributeTok"/>
        </w:rPr>
        <w:t xml:space="preserve">scale =</w:t>
      </w:r>
      <w:r>
        <w:rPr>
          <w:rStyle w:val="NormalTok"/>
        </w:rPr>
        <w:t xml:space="preserve"> </w:t>
      </w:r>
      <w:r>
        <w:rPr>
          <w:rStyle w:val="DecValTok"/>
        </w:rPr>
        <w:t xml:space="preserve">1</w:t>
      </w:r>
      <w:r>
        <w:rPr>
          <w:rStyle w:val="NormalTok"/>
        </w:rPr>
        <w:t xml:space="preserve">), </w:t>
      </w:r>
      <w:r>
        <w:rPr>
          <w:rStyle w:val="AttributeTok"/>
        </w:rPr>
        <w:t xml:space="preserve">expand =</w:t>
      </w:r>
      <w:r>
        <w:rPr>
          <w:rStyle w:val="NormalTok"/>
        </w:rPr>
        <w:t xml:space="preserve"> </w:t>
      </w:r>
      <w:r>
        <w:rPr>
          <w:rStyle w:val="FunctionTok"/>
        </w:rPr>
        <w:t xml:space="preserve">c</w:t>
      </w:r>
      <w:r>
        <w:rPr>
          <w:rStyle w:val="NormalTok"/>
        </w:rPr>
        <w:t xml:space="preserve">(</w:t>
      </w:r>
      <w:r>
        <w:rPr>
          <w:rStyle w:val="FloatTok"/>
        </w:rPr>
        <w:t xml:space="preserve">0.05</w:t>
      </w:r>
      <w:r>
        <w:rPr>
          <w:rStyle w:val="NormalTok"/>
        </w:rPr>
        <w:t xml:space="preserve">, </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FunctionTok"/>
        </w:rPr>
        <w:t xml:space="preserve">percent_format</w:t>
      </w:r>
      <w:r>
        <w:rPr>
          <w:rStyle w:val="NormalTok"/>
        </w:rPr>
        <w:t xml:space="preserve">(</w:t>
      </w:r>
      <w:r>
        <w:rPr>
          <w:rStyle w:val="AttributeTok"/>
        </w:rPr>
        <w:t xml:space="preserve">scale =</w:t>
      </w:r>
      <w:r>
        <w:rPr>
          <w:rStyle w:val="NormalTok"/>
        </w:rPr>
        <w:t xml:space="preserve"> </w:t>
      </w:r>
      <w:r>
        <w:rPr>
          <w:rStyle w:val="DecValTok"/>
        </w:rPr>
        <w:t xml:space="preserve">1</w:t>
      </w:r>
      <w:r>
        <w:rPr>
          <w:rStyle w:val="NormalTok"/>
        </w:rPr>
        <w:t xml:space="preserve">), </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70</w:t>
      </w:r>
      <w:r>
        <w:rPr>
          <w:rStyle w:val="NormalTok"/>
        </w:rPr>
        <w:t xml:space="preserve">, </w:t>
      </w:r>
      <w:r>
        <w:rPr>
          <w:rStyle w:val="DecValTok"/>
        </w:rPr>
        <w:t xml:space="preserve">10</w:t>
      </w:r>
      <w:r>
        <w:rPr>
          <w:rStyle w:val="NormalTok"/>
        </w:rPr>
        <w:t xml:space="preserve">)) </w:t>
      </w:r>
      <w:r>
        <w:rPr>
          <w:rStyle w:val="SpecialCharTok"/>
        </w:rPr>
        <w:t xml:space="preserve">+</w:t>
      </w:r>
      <w:r>
        <w:br/>
      </w:r>
      <w:r>
        <w:rPr>
          <w:rStyle w:val="NormalTok"/>
        </w:rPr>
        <w:t xml:space="preserve">  viridis</w:t>
      </w:r>
      <w:r>
        <w:rPr>
          <w:rStyle w:val="SpecialCharTok"/>
        </w:rPr>
        <w:t xml:space="preserve">::</w:t>
      </w:r>
      <w:r>
        <w:rPr>
          <w:rStyle w:val="FunctionTok"/>
        </w:rPr>
        <w:t xml:space="preserve">scale_fill_viridis</w:t>
      </w:r>
      <w:r>
        <w:rPr>
          <w:rStyle w:val="NormalTok"/>
        </w:rPr>
        <w:t xml:space="preserve">(</w:t>
      </w:r>
      <w:r>
        <w:rPr>
          <w:rStyle w:val="AttributeTok"/>
        </w:rPr>
        <w:t xml:space="preserve">discrete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"Percentage of original study's Cohen's d used</w:t>
      </w:r>
      <w:r>
        <w:rPr>
          <w:rStyle w:val="SpecialCharTok"/>
        </w:rPr>
        <w:t xml:space="preserve">\n</w:t>
      </w:r>
      <w:r>
        <w:rPr>
          <w:rStyle w:val="StringTok"/>
        </w:rPr>
        <w:t xml:space="preserve">to calculate tolerance region"</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"Percentage within the tolerance region"</w:t>
      </w:r>
      <w:r>
        <w:rPr>
          <w:rStyle w:val="NormalTok"/>
        </w:rPr>
        <w:t xml:space="preserve">,</w:t>
      </w:r>
      <w:r>
        <w:br/>
      </w:r>
      <w:r>
        <w:rPr>
          <w:rStyle w:val="NormalTok"/>
        </w:rPr>
        <w:t xml:space="preserve">    </w:t>
      </w:r>
      <w:r>
        <w:rPr>
          <w:rStyle w:val="AttributeTok"/>
        </w:rPr>
        <w:t xml:space="preserve">linetype =</w:t>
      </w:r>
      <w:r>
        <w:rPr>
          <w:rStyle w:val="NormalTok"/>
        </w:rPr>
        <w:t xml:space="preserve"> </w:t>
      </w:r>
      <w:r>
        <w:rPr>
          <w:rStyle w:val="StringTok"/>
        </w:rPr>
        <w:t xml:space="preserve">"Percentage of"</w:t>
      </w:r>
      <w:r>
        <w:br/>
      </w:r>
      <w:r>
        <w:rPr>
          <w:rStyle w:val="NormalTok"/>
        </w:rPr>
        <w:t xml:space="preserve">  ) </w:t>
      </w:r>
      <w:r>
        <w:rPr>
          <w:rStyle w:val="SpecialCharTok"/>
        </w:rPr>
        <w:t xml:space="preserve">+</w:t>
      </w:r>
      <w:r>
        <w:br/>
      </w:r>
      <w:r>
        <w:rPr>
          <w:rStyle w:val="NormalTok"/>
        </w:rPr>
        <w:t xml:space="preserve">  ggplot2</w:t>
      </w:r>
      <w:r>
        <w:rPr>
          <w:rStyle w:val="SpecialCharTok"/>
        </w:rPr>
        <w:t xml:space="preserve">::</w:t>
      </w:r>
      <w:r>
        <w:rPr>
          <w:rStyle w:val="FunctionTok"/>
        </w:rPr>
        <w:t xml:space="preserve">theme</w:t>
      </w:r>
      <w:r>
        <w:rPr>
          <w:rStyle w:val="NormalTok"/>
        </w:rPr>
        <w:t xml:space="preserve">(</w:t>
      </w:r>
      <w:r>
        <w:br/>
      </w:r>
      <w:r>
        <w:rPr>
          <w:rStyle w:val="NormalTok"/>
        </w:rPr>
        <w:t xml:space="preserve">    </w:t>
      </w:r>
      <w:r>
        <w:rPr>
          <w:rStyle w:val="AttributeTok"/>
        </w:rPr>
        <w:t xml:space="preserve">panel.background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axis.line =</w:t>
      </w:r>
      <w:r>
        <w:rPr>
          <w:rStyle w:val="NormalTok"/>
        </w:rPr>
        <w:t xml:space="preserve"> </w:t>
      </w:r>
      <w:r>
        <w:rPr>
          <w:rStyle w:val="FunctionTok"/>
        </w:rPr>
        <w:t xml:space="preserve">element_line</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w:t>
      </w:r>
      <w:r>
        <w:br/>
      </w:r>
      <w:r>
        <w:rPr>
          <w:rStyle w:val="NormalTok"/>
        </w:rPr>
        <w:t xml:space="preserve">  )</w:t>
      </w:r>
      <w:r>
        <w:br/>
      </w:r>
      <w:r>
        <w:br/>
      </w:r>
      <w:r>
        <w:rPr>
          <w:rStyle w:val="NormalTok"/>
        </w:rPr>
        <w:t xml:space="preserve">ggplot2</w:t>
      </w:r>
      <w:r>
        <w:rPr>
          <w:rStyle w:val="SpecialCharTok"/>
        </w:rPr>
        <w:t xml:space="preserve">::</w:t>
      </w:r>
      <w:r>
        <w:rPr>
          <w:rStyle w:val="FunctionTok"/>
        </w:rPr>
        <w:t xml:space="preserve">ggsave</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"figures/threshold_weighted_robustness_plot.jpg"</w:t>
      </w:r>
      <w:r>
        <w:rPr>
          <w:rStyle w:val="NormalTok"/>
        </w:rPr>
        <w:t xml:space="preserve">), threshold_weighted_robustness_plot, </w:t>
      </w:r>
      <w:r>
        <w:rPr>
          <w:rStyle w:val="AttributeTok"/>
        </w:rPr>
        <w:t xml:space="preserve">height =</w:t>
      </w:r>
      <w:r>
        <w:rPr>
          <w:rStyle w:val="NormalTok"/>
        </w:rPr>
        <w:t xml:space="preserve"> </w:t>
      </w:r>
      <w:r>
        <w:rPr>
          <w:rStyle w:val="DecValTok"/>
        </w:rPr>
        <w:t xml:space="preserve">4</w:t>
      </w:r>
      <w:r>
        <w:rPr>
          <w:rStyle w:val="NormalTok"/>
        </w:rPr>
        <w:t xml:space="preserve">, </w:t>
      </w:r>
      <w:r>
        <w:rPr>
          <w:rStyle w:val="AttributeTok"/>
        </w:rPr>
        <w:t xml:space="preserve">dpi =</w:t>
      </w:r>
      <w:r>
        <w:rPr>
          <w:rStyle w:val="NormalTok"/>
        </w:rPr>
        <w:t xml:space="preserve"> </w:t>
      </w:r>
      <w:r>
        <w:rPr>
          <w:rStyle w:val="DecValTok"/>
        </w:rPr>
        <w:t xml:space="preserve">300</w:t>
      </w:r>
      <w:r>
        <w:rPr>
          <w:rStyle w:val="NormalTok"/>
        </w:rPr>
        <w:t xml:space="preserve">)</w:t>
      </w:r>
    </w:p>
    <w:p>
      <w:pPr>
        <w:pStyle w:val="SourceCode"/>
      </w:pPr>
      <w:r>
        <w:rPr>
          <w:rStyle w:val="VerbatimChar"/>
        </w:rPr>
        <w:t xml:space="preserve">Saving 5 x 4 in image</w:t>
      </w:r>
    </w:p>
    <w:p>
      <w:pPr>
        <w:pStyle w:val="SourceCode"/>
      </w:pPr>
      <w:r>
        <w:rPr>
          <w:rStyle w:val="NormalTok"/>
        </w:rPr>
        <w:t xml:space="preserve">threshold_weighted_robustness_plot</w:t>
      </w:r>
    </w:p>
    <w:p>
      <w:pPr>
        <w:pStyle w:val="FirstParagraph"/>
      </w:pPr>
      <w:r>
        <w:drawing>
          <wp:inline>
            <wp:extent cx="4620126" cy="3696101"/>
            <wp:effectExtent b="0" l="0" r="0" t="0"/>
            <wp:docPr descr="" title="" id="130" name="Picture"/>
            <a:graphic>
              <a:graphicData uri="http://schemas.openxmlformats.org/drawingml/2006/picture">
                <pic:pic>
                  <pic:nvPicPr>
                    <pic:cNvPr descr="multi100_results_files/figure-docx/unnamed-chunk-73-1.png" id="131" name="Picture"/>
                    <pic:cNvPicPr>
                      <a:picLocks noChangeArrowheads="1" noChangeAspect="1"/>
                    </pic:cNvPicPr>
                  </pic:nvPicPr>
                  <pic:blipFill>
                    <a:blip r:embed="rId129"/>
                    <a:stretch>
                      <a:fillRect/>
                    </a:stretch>
                  </pic:blipFill>
                  <pic:spPr bwMode="auto">
                    <a:xfrm>
                      <a:off x="0" y="0"/>
                      <a:ext cx="4620126" cy="3696101"/>
                    </a:xfrm>
                    <a:prstGeom prst="rect">
                      <a:avLst/>
                    </a:prstGeom>
                    <a:noFill/>
                    <a:ln w="9525">
                      <a:noFill/>
                      <a:headEnd/>
                      <a:tailEnd/>
                    </a:ln>
                  </pic:spPr>
                </pic:pic>
              </a:graphicData>
            </a:graphic>
          </wp:inline>
        </w:drawing>
      </w:r>
    </w:p>
    <w:bookmarkStart w:id="140" w:name="estimate-robustness-by-discipline"/>
    <w:p>
      <w:pPr>
        <w:pStyle w:val="Heading5"/>
      </w:pPr>
      <w:r>
        <w:t xml:space="preserve">Estimate robustness by discipline</w:t>
      </w:r>
    </w:p>
    <w:p>
      <w:pPr>
        <w:pStyle w:val="FirstParagraph"/>
      </w:pPr>
      <w:r>
        <w:t xml:space="preserve">We were interested to see whether these robustness results show a different pattern when inspecting separately by the disciplines of the studies.</w:t>
      </w:r>
      <w:r>
        <w:t xml:space="preserve"> </w:t>
      </w:r>
      <w:hyperlink w:anchor="fig-effect-region-discipline">
        <w:r>
          <w:rPr>
            <w:rStyle w:val="Hyperlink"/>
          </w:rPr>
          <w:t xml:space="preserve">Figure 23</w:t>
        </w:r>
      </w:hyperlink>
      <w:r>
        <w:t xml:space="preserve"> </w:t>
      </w:r>
      <w:r>
        <w:t xml:space="preserve">and</w:t>
      </w:r>
      <w:r>
        <w:t xml:space="preserve"> </w:t>
      </w:r>
      <w:hyperlink w:anchor="fig-effect-robustness-discipline">
        <w:r>
          <w:rPr>
            <w:rStyle w:val="Hyperlink"/>
          </w:rPr>
          <w:t xml:space="preserve">Figure 24</w:t>
        </w:r>
      </w:hyperlink>
      <w:r>
        <w:t xml:space="preserve"> </w:t>
      </w:r>
      <w:r>
        <w:t xml:space="preserve">show that for the major disciplines (&gt;=10 studies).</w:t>
      </w:r>
    </w:p>
    <w:tbl>
      <w:tblPr>
        <w:tblStyle w:val="Table"/>
        <w:tblW w:type="pct" w:w="5000"/>
        <w:tblLook w:firstRow="0" w:lastRow="0" w:firstColumn="0" w:lastColumn="0" w:noHBand="0" w:noVBand="0" w:val="0000"/>
        <w:jc w:val="start"/>
      </w:tblPr>
      <w:tblGrid>
        <w:gridCol w:w="7920"/>
      </w:tblGrid>
      <w:tr>
        <w:tc>
          <w:tcPr/>
          <w:bookmarkStart w:id="135" w:name="fig-effect-region-discipline"/>
          <w:p>
            <w:pPr>
              <w:jc w:val="center"/>
            </w:pPr>
            <w:r>
              <w:drawing>
                <wp:inline>
                  <wp:extent cx="4620126" cy="3696101"/>
                  <wp:effectExtent b="0" l="0" r="0" t="0"/>
                  <wp:docPr descr="" title="" id="133" name="Picture"/>
                  <a:graphic>
                    <a:graphicData uri="http://schemas.openxmlformats.org/drawingml/2006/picture">
                      <pic:pic>
                        <pic:nvPicPr>
                          <pic:cNvPr descr="multi100_results_files/figure-docx/fig-effect-region-discipline-1.png" id="134" name="Picture"/>
                          <pic:cNvPicPr>
                            <a:picLocks noChangeArrowheads="1" noChangeAspect="1"/>
                          </pic:cNvPicPr>
                        </pic:nvPicPr>
                        <pic:blipFill>
                          <a:blip r:embed="rId132"/>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23: The figure shows the percentage of re-analysis results falling within or outside of the tolerance region of the original results of the studies by major disciplines. The figure displays the count of re-analyses next to each discipline name.</w:t>
            </w:r>
          </w:p>
          <w:bookmarkEnd w:id="135"/>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139" w:name="fig-effect-robustness-discipline"/>
          <w:p>
            <w:pPr>
              <w:jc w:val="center"/>
            </w:pPr>
            <w:r>
              <w:drawing>
                <wp:inline>
                  <wp:extent cx="4620126" cy="3696101"/>
                  <wp:effectExtent b="0" l="0" r="0" t="0"/>
                  <wp:docPr descr="" title="" id="137" name="Picture"/>
                  <a:graphic>
                    <a:graphicData uri="http://schemas.openxmlformats.org/drawingml/2006/picture">
                      <pic:pic>
                        <pic:nvPicPr>
                          <pic:cNvPr descr="multi100_results_files/figure-docx/fig-effect-robustness-discipline-1.png" id="138" name="Picture"/>
                          <pic:cNvPicPr>
                            <a:picLocks noChangeArrowheads="1" noChangeAspect="1"/>
                          </pic:cNvPicPr>
                        </pic:nvPicPr>
                        <pic:blipFill>
                          <a:blip r:embed="rId136"/>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24: This raincloud figure shows for each major discipline the distributions of effect size estimate ranges (lowest to highest) calculated per study.</w:t>
            </w:r>
          </w:p>
          <w:bookmarkEnd w:id="139"/>
        </w:tc>
      </w:tr>
    </w:tbl>
    <w:bookmarkEnd w:id="140"/>
    <w:bookmarkStart w:id="149" w:name="Xef019b0077efd7b5485773c5bbf35989472da8e"/>
    <w:p>
      <w:pPr>
        <w:pStyle w:val="Heading5"/>
      </w:pPr>
      <w:r>
        <w:t xml:space="preserve">Estimate robustness by study type (observational, experimental)</w:t>
      </w:r>
    </w:p>
    <w:p>
      <w:pPr>
        <w:pStyle w:val="FirstParagraph"/>
      </w:pPr>
      <w:r>
        <w:t xml:space="preserve">Here (</w:t>
      </w:r>
      <w:hyperlink w:anchor="fig-effect-region-studytype">
        <w:r>
          <w:rPr>
            <w:rStyle w:val="Hyperlink"/>
          </w:rPr>
          <w:t xml:space="preserve">Figure 25</w:t>
        </w:r>
      </w:hyperlink>
      <w:r>
        <w:t xml:space="preserve"> </w:t>
      </w:r>
      <w:r>
        <w:t xml:space="preserve">and</w:t>
      </w:r>
      <w:r>
        <w:t xml:space="preserve"> </w:t>
      </w:r>
      <w:hyperlink w:anchor="fig-effect-robustness-studytype">
        <w:r>
          <w:rPr>
            <w:rStyle w:val="Hyperlink"/>
          </w:rPr>
          <w:t xml:space="preserve">Figure 26</w:t>
        </w:r>
      </w:hyperlink>
      <w:r>
        <w:t xml:space="preserve">), we were interested to see whether these results show a different pattern when separating them by study type.</w:t>
      </w:r>
    </w:p>
    <w:tbl>
      <w:tblPr>
        <w:tblStyle w:val="Table"/>
        <w:tblW w:type="pct" w:w="5000"/>
        <w:tblLook w:firstRow="0" w:lastRow="0" w:firstColumn="0" w:lastColumn="0" w:noHBand="0" w:noVBand="0" w:val="0000"/>
        <w:jc w:val="start"/>
      </w:tblPr>
      <w:tblGrid>
        <w:gridCol w:w="7920"/>
      </w:tblGrid>
      <w:tr>
        <w:tc>
          <w:tcPr/>
          <w:bookmarkStart w:id="144" w:name="fig-effect-region-studytype"/>
          <w:p>
            <w:pPr>
              <w:jc w:val="center"/>
            </w:pPr>
            <w:r>
              <w:drawing>
                <wp:inline>
                  <wp:extent cx="4620126" cy="3696101"/>
                  <wp:effectExtent b="0" l="0" r="0" t="0"/>
                  <wp:docPr descr="" title="" id="142" name="Picture"/>
                  <a:graphic>
                    <a:graphicData uri="http://schemas.openxmlformats.org/drawingml/2006/picture">
                      <pic:pic>
                        <pic:nvPicPr>
                          <pic:cNvPr descr="multi100_results_files/figure-docx/fig-effect-region-studytype-1.png" id="143" name="Picture"/>
                          <pic:cNvPicPr>
                            <a:picLocks noChangeArrowheads="1" noChangeAspect="1"/>
                          </pic:cNvPicPr>
                        </pic:nvPicPr>
                        <pic:blipFill>
                          <a:blip r:embed="rId141"/>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25: The figure shows the percentage of re-analysis results falling within or outside of the tolerance region of the original results of the studies by study type. The figure displays the count of re-analyses next to each discipline name.</w:t>
            </w:r>
          </w:p>
          <w:bookmarkEnd w:id="144"/>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148" w:name="fig-effect-robustness-studytype"/>
          <w:p>
            <w:pPr>
              <w:jc w:val="center"/>
            </w:pPr>
            <w:r>
              <w:drawing>
                <wp:inline>
                  <wp:extent cx="4620126" cy="3696101"/>
                  <wp:effectExtent b="0" l="0" r="0" t="0"/>
                  <wp:docPr descr="" title="" id="146" name="Picture"/>
                  <a:graphic>
                    <a:graphicData uri="http://schemas.openxmlformats.org/drawingml/2006/picture">
                      <pic:pic>
                        <pic:nvPicPr>
                          <pic:cNvPr descr="multi100_results_files/figure-docx/fig-effect-robustness-studytype-1.png" id="147" name="Picture"/>
                          <pic:cNvPicPr>
                            <a:picLocks noChangeArrowheads="1" noChangeAspect="1"/>
                          </pic:cNvPicPr>
                        </pic:nvPicPr>
                        <pic:blipFill>
                          <a:blip r:embed="rId145"/>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26: This raincloud figure shows for each study type the distribution of effect size estimate ranges (lowest to highest) calculated per study.</w:t>
            </w:r>
          </w:p>
          <w:bookmarkEnd w:id="148"/>
        </w:tc>
      </w:tr>
    </w:tbl>
    <w:bookmarkEnd w:id="149"/>
    <w:bookmarkStart w:id="154" w:name="estimate-robustness-by-expertise"/>
    <w:p>
      <w:pPr>
        <w:pStyle w:val="Heading5"/>
      </w:pPr>
      <w:r>
        <w:t xml:space="preserve">Estimate robustness by expertise</w:t>
      </w:r>
    </w:p>
    <w:p>
      <w:pPr>
        <w:pStyle w:val="FirstParagraph"/>
      </w:pPr>
      <w:r>
        <w:t xml:space="preserve">Here (</w:t>
      </w:r>
      <w:hyperlink w:anchor="fig-effect-region-expertise">
        <w:r>
          <w:rPr>
            <w:rStyle w:val="Hyperlink"/>
          </w:rPr>
          <w:t xml:space="preserve">Figure 27</w:t>
        </w:r>
      </w:hyperlink>
      <w:r>
        <w:t xml:space="preserve">), we were interested to see whether these results show a different pattern when inspecting them along the reported expertise of the co-analysts.</w:t>
      </w:r>
    </w:p>
    <w:tbl>
      <w:tblPr>
        <w:tblStyle w:val="Table"/>
        <w:tblW w:type="pct" w:w="5000"/>
        <w:tblLook w:firstRow="0" w:lastRow="0" w:firstColumn="0" w:lastColumn="0" w:noHBand="0" w:noVBand="0" w:val="0000"/>
        <w:jc w:val="start"/>
      </w:tblPr>
      <w:tblGrid>
        <w:gridCol w:w="7920"/>
      </w:tblGrid>
      <w:tr>
        <w:tc>
          <w:tcPr/>
          <w:bookmarkStart w:id="153" w:name="fig-effect-region-expertise"/>
          <w:p>
            <w:pPr>
              <w:jc w:val="center"/>
            </w:pPr>
            <w:r>
              <w:drawing>
                <wp:inline>
                  <wp:extent cx="4620126" cy="3696101"/>
                  <wp:effectExtent b="0" l="0" r="0" t="0"/>
                  <wp:docPr descr="" title="" id="151" name="Picture"/>
                  <a:graphic>
                    <a:graphicData uri="http://schemas.openxmlformats.org/drawingml/2006/picture">
                      <pic:pic>
                        <pic:nvPicPr>
                          <pic:cNvPr descr="multi100_results_files/figure-docx/fig-effect-region-expertise-1.png" id="152" name="Picture"/>
                          <pic:cNvPicPr>
                            <a:picLocks noChangeArrowheads="1" noChangeAspect="1"/>
                          </pic:cNvPicPr>
                        </pic:nvPicPr>
                        <pic:blipFill>
                          <a:blip r:embed="rId150"/>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27: The figure shows the percentage of re-analysis results falling within or outside of the tolerance region of the original results of the studies by self-rated expertise (on a scale of 1 (Beginner) to 10 (Expert)).</w:t>
            </w:r>
          </w:p>
          <w:bookmarkEnd w:id="153"/>
        </w:tc>
      </w:tr>
    </w:tbl>
    <w:bookmarkEnd w:id="154"/>
    <w:bookmarkStart w:id="159" w:name="X981bcb03870f1985688ec9c918f9aa5dec020af"/>
    <w:p>
      <w:pPr>
        <w:pStyle w:val="Heading5"/>
      </w:pPr>
      <w:r>
        <w:t xml:space="preserve">Estimate robustness by prior familiarity with the dataset</w:t>
      </w:r>
    </w:p>
    <w:p>
      <w:pPr>
        <w:pStyle w:val="FirstParagraph"/>
      </w:pPr>
      <w:r>
        <w:t xml:space="preserve">Here, we were interested to see whether these results show a different pattern when inspecting them along their prior familiarity with the dataset.</w:t>
      </w:r>
      <w:r>
        <w:t xml:space="preserve"> </w:t>
      </w:r>
      <w:hyperlink w:anchor="fig-effect-region-familiarity">
        <w:r>
          <w:rPr>
            <w:rStyle w:val="Hyperlink"/>
          </w:rPr>
          <w:t xml:space="preserve">Figure 28</w:t>
        </w:r>
      </w:hyperlink>
      <w:r>
        <w:t xml:space="preserve"> </w:t>
      </w:r>
      <w:r>
        <w:t xml:space="preserve">shows that for these results.</w:t>
      </w:r>
    </w:p>
    <w:tbl>
      <w:tblPr>
        <w:tblStyle w:val="Table"/>
        <w:tblW w:type="pct" w:w="5000"/>
        <w:tblLook w:firstRow="0" w:lastRow="0" w:firstColumn="0" w:lastColumn="0" w:noHBand="0" w:noVBand="0" w:val="0000"/>
        <w:jc w:val="start"/>
      </w:tblPr>
      <w:tblGrid>
        <w:gridCol w:w="7920"/>
      </w:tblGrid>
      <w:tr>
        <w:tc>
          <w:tcPr/>
          <w:bookmarkStart w:id="158" w:name="fig-effect-region-familiarity"/>
          <w:p>
            <w:pPr>
              <w:jc w:val="center"/>
            </w:pPr>
            <w:r>
              <w:drawing>
                <wp:inline>
                  <wp:extent cx="4620126" cy="3696101"/>
                  <wp:effectExtent b="0" l="0" r="0" t="0"/>
                  <wp:docPr descr="" title="" id="156" name="Picture"/>
                  <a:graphic>
                    <a:graphicData uri="http://schemas.openxmlformats.org/drawingml/2006/picture">
                      <pic:pic>
                        <pic:nvPicPr>
                          <pic:cNvPr descr="multi100_results_files/figure-docx/fig-effect-region-familiarity-1.png" id="157" name="Picture"/>
                          <pic:cNvPicPr>
                            <a:picLocks noChangeArrowheads="1" noChangeAspect="1"/>
                          </pic:cNvPicPr>
                        </pic:nvPicPr>
                        <pic:blipFill>
                          <a:blip r:embed="rId155"/>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28: The figure shows the percentage of re-analysis results falling within or outside of the tolerance region of the original results of the studies by declared familiarity with the study.</w:t>
            </w:r>
          </w:p>
          <w:bookmarkEnd w:id="158"/>
        </w:tc>
      </w:tr>
    </w:tbl>
    <w:bookmarkEnd w:id="159"/>
    <w:bookmarkStart w:id="160" w:name="X0ec152724a87b48c76365c47de45b5a1eb105c7"/>
    <w:p>
      <w:pPr>
        <w:pStyle w:val="Heading5"/>
      </w:pPr>
      <w:r>
        <w:t xml:space="preserve">Estimate robustness by the level of confidence with the suitability of the analysis</w:t>
      </w:r>
    </w:p>
    <w:p>
      <w:pPr>
        <w:pStyle w:val="FirstParagraph"/>
      </w:pPr>
      <w:r>
        <w:t xml:space="preserve">Here (Table 4), we were interested to see whether these results show a different pattern when inspecting them along their level of confidence with the suitability of the analysis.</w:t>
      </w:r>
    </w:p>
    <w:p>
      <w:pPr>
        <w:pStyle w:val="BodyText"/>
      </w:pPr>
      <w:r>
        <w:rPr>
          <w:bCs/>
          <w:b/>
        </w:rPr>
        <w:t xml:space="preserve">Table 4. Estimate Robustness by the Level of Confidence with the Suitability of the Analysis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Confidence rating</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Is the estimate within the tolerance region?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Count</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Percentage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Not confident at all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 / 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Not confident at all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 / 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 / 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 / 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61.54%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 / 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 / 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 / 192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141 / 192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Very confident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 / 141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Very confident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 / 141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58.16%</w:t>
            </w:r>
          </w:p>
        </w:tc>
      </w:tr>
    </w:tbl>
    <w:bookmarkEnd w:id="160"/>
    <w:bookmarkStart w:id="168" w:name="estimate-robustness-by-the-sample-size"/>
    <w:p>
      <w:pPr>
        <w:pStyle w:val="Heading5"/>
      </w:pPr>
      <w:r>
        <w:t xml:space="preserve">Estimate robustness by the sample size</w:t>
      </w:r>
    </w:p>
    <w:p>
      <w:pPr>
        <w:pStyle w:val="FirstParagraph"/>
      </w:pPr>
      <w:r>
        <w:t xml:space="preserve">Here, we were interested to see whether these results show a different pattern when considering sample size. The following</w:t>
      </w:r>
      <w:r>
        <w:t xml:space="preserve"> </w:t>
      </w:r>
      <w:hyperlink w:anchor="fig-samplesize-region">
        <w:r>
          <w:rPr>
            <w:rStyle w:val="Hyperlink"/>
          </w:rPr>
          <w:t xml:space="preserve">Figure 29</w:t>
        </w:r>
      </w:hyperlink>
      <w:r>
        <w:t xml:space="preserve"> </w:t>
      </w:r>
      <w:r>
        <w:t xml:space="preserve">shows no remarkable differences between the two categories.</w:t>
      </w:r>
    </w:p>
    <w:tbl>
      <w:tblPr>
        <w:tblStyle w:val="Table"/>
        <w:tblW w:type="pct" w:w="5000"/>
        <w:tblLook w:firstRow="0" w:lastRow="0" w:firstColumn="0" w:lastColumn="0" w:noHBand="0" w:noVBand="0" w:val="0000"/>
        <w:jc w:val="start"/>
      </w:tblPr>
      <w:tblGrid>
        <w:gridCol w:w="7920"/>
      </w:tblGrid>
      <w:tr>
        <w:tc>
          <w:tcPr/>
          <w:bookmarkStart w:id="164" w:name="fig-samplesize-region"/>
          <w:p>
            <w:pPr>
              <w:jc w:val="center"/>
            </w:pPr>
            <w:r>
              <w:drawing>
                <wp:inline>
                  <wp:extent cx="4620126" cy="3696101"/>
                  <wp:effectExtent b="0" l="0" r="0" t="0"/>
                  <wp:docPr descr="" title="" id="162" name="Picture"/>
                  <a:graphic>
                    <a:graphicData uri="http://schemas.openxmlformats.org/drawingml/2006/picture">
                      <pic:pic>
                        <pic:nvPicPr>
                          <pic:cNvPr descr="multi100_results_files/figure-docx/fig-samplesize-region-1.png" id="163" name="Picture"/>
                          <pic:cNvPicPr>
                            <a:picLocks noChangeArrowheads="1" noChangeAspect="1"/>
                          </pic:cNvPicPr>
                        </pic:nvPicPr>
                        <pic:blipFill>
                          <a:blip r:embed="rId161"/>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29: The figure shows the distribution of sample sizes separately for re-analysis effect sizes falling within or outside of the tolerance region of the original results. In this figure, we could not include those studies where the original effect sizes were missing, and cases where the re-analysis effect size or sample size were missing.</w:t>
            </w:r>
          </w:p>
          <w:bookmarkEnd w:id="164"/>
        </w:tc>
      </w:tr>
    </w:tbl>
    <w:p>
      <w:pPr>
        <w:pStyle w:val="SourceCode"/>
      </w:pPr>
      <w:r>
        <w:rPr>
          <w:rStyle w:val="NormalTok"/>
        </w:rPr>
        <w:t xml:space="preserve">df_region_data </w:t>
      </w:r>
      <w:r>
        <w:rPr>
          <w:rStyle w:val="OtherTok"/>
        </w:rPr>
        <w:t xml:space="preserve">&lt;-</w:t>
      </w:r>
      <w:r>
        <w:br/>
      </w:r>
      <w:r>
        <w:rPr>
          <w:rStyle w:val="NormalTok"/>
        </w:rPr>
        <w:t xml:space="preserve">  processed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paper_id,</w:t>
      </w:r>
      <w:r>
        <w:br/>
      </w:r>
      <w:r>
        <w:rPr>
          <w:rStyle w:val="NormalTok"/>
        </w:rPr>
        <w:t xml:space="preserve">    analyst_id,</w:t>
      </w:r>
      <w:r>
        <w:br/>
      </w:r>
      <w:r>
        <w:rPr>
          <w:rStyle w:val="NormalTok"/>
        </w:rPr>
        <w:t xml:space="preserve">    reanalysis_degrees_of_freedom_1,</w:t>
      </w:r>
      <w:r>
        <w:br/>
      </w:r>
      <w:r>
        <w:rPr>
          <w:rStyle w:val="NormalTok"/>
        </w:rPr>
        <w:t xml:space="preserve">    reanalysis_degrees_of_freedom_2,</w:t>
      </w:r>
      <w:r>
        <w:br/>
      </w:r>
      <w:r>
        <w:rPr>
          <w:rStyle w:val="NormalTok"/>
        </w:rPr>
        <w:t xml:space="preserve">    original_cohens_d,</w:t>
      </w:r>
      <w:r>
        <w:br/>
      </w:r>
      <w:r>
        <w:rPr>
          <w:rStyle w:val="NormalTok"/>
        </w:rPr>
        <w:t xml:space="preserve">    reanalysis_cohens_d</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reanalysis_degrees_of_freedom_1 =</w:t>
      </w:r>
      <w:r>
        <w:rPr>
          <w:rStyle w:val="NormalTok"/>
        </w:rPr>
        <w:t xml:space="preserve"> dplyr</w:t>
      </w:r>
      <w:r>
        <w:rPr>
          <w:rStyle w:val="SpecialCharTok"/>
        </w:rPr>
        <w:t xml:space="preserve">::</w:t>
      </w:r>
      <w:r>
        <w:rPr>
          <w:rStyle w:val="FunctionTok"/>
        </w:rPr>
        <w:t xml:space="preserve">case_when</w:t>
      </w:r>
      <w:r>
        <w:rPr>
          <w:rStyle w:val="NormalTok"/>
        </w:rPr>
        <w:t xml:space="preserve">(</w:t>
      </w:r>
      <w:r>
        <w:br/>
      </w:r>
      <w:r>
        <w:rPr>
          <w:rStyle w:val="NormalTok"/>
        </w:rPr>
        <w:t xml:space="preserve">      </w:t>
      </w:r>
      <w:r>
        <w:rPr>
          <w:rStyle w:val="SpecialCharTok"/>
        </w:rPr>
        <w:t xml:space="preserve">!</w:t>
      </w:r>
      <w:r>
        <w:rPr>
          <w:rStyle w:val="FunctionTok"/>
        </w:rPr>
        <w:t xml:space="preserve">is.na</w:t>
      </w:r>
      <w:r>
        <w:rPr>
          <w:rStyle w:val="NormalTok"/>
        </w:rPr>
        <w:t xml:space="preserve">(reanalysis_degrees_of_freedom_2) </w:t>
      </w:r>
      <w:r>
        <w:rPr>
          <w:rStyle w:val="SpecialCharTok"/>
        </w:rPr>
        <w:t xml:space="preserve">~</w:t>
      </w:r>
      <w:r>
        <w:rPr>
          <w:rStyle w:val="NormalTok"/>
        </w:rPr>
        <w:t xml:space="preserve"> reanalysis_degrees_of_freedom_2,</w:t>
      </w:r>
      <w:r>
        <w:br/>
      </w:r>
      <w:r>
        <w:rPr>
          <w:rStyle w:val="NormalTok"/>
        </w:rPr>
        <w:t xml:space="preserve">      </w:t>
      </w:r>
      <w:r>
        <w:rPr>
          <w:rStyle w:val="FunctionTok"/>
        </w:rPr>
        <w:t xml:space="preserve">is.na</w:t>
      </w:r>
      <w:r>
        <w:rPr>
          <w:rStyle w:val="NormalTok"/>
        </w:rPr>
        <w:t xml:space="preserve">(reanalysis_degrees_of_freedom_2) </w:t>
      </w:r>
      <w:r>
        <w:rPr>
          <w:rStyle w:val="SpecialCharTok"/>
        </w:rPr>
        <w:t xml:space="preserve">~</w:t>
      </w:r>
      <w:r>
        <w:rPr>
          <w:rStyle w:val="NormalTok"/>
        </w:rPr>
        <w:t xml:space="preserve"> reanalysis_degrees_of_freedom_1</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NormalTok"/>
        </w:rPr>
        <w:t xml:space="preserve">reanalysis_degrees_of_freedom_2)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w:t>
      </w:r>
      <w:r>
        <w:br/>
      </w:r>
      <w:r>
        <w:rPr>
          <w:rStyle w:val="NormalTok"/>
        </w:rPr>
        <w:t xml:space="preserve">    </w:t>
      </w:r>
      <w:r>
        <w:rPr>
          <w:rStyle w:val="SpecialCharTok"/>
        </w:rPr>
        <w:t xml:space="preserve">!</w:t>
      </w:r>
      <w:r>
        <w:rPr>
          <w:rStyle w:val="FunctionTok"/>
        </w:rPr>
        <w:t xml:space="preserve">is.na</w:t>
      </w:r>
      <w:r>
        <w:rPr>
          <w:rStyle w:val="NormalTok"/>
        </w:rPr>
        <w:t xml:space="preserve">(original_cohens_d),</w:t>
      </w:r>
      <w:r>
        <w:rPr>
          <w:rStyle w:val="SpecialCharTok"/>
        </w:rPr>
        <w:t xml:space="preserve">!</w:t>
      </w:r>
      <w:r>
        <w:rPr>
          <w:rStyle w:val="FunctionTok"/>
        </w:rPr>
        <w:t xml:space="preserve">is.na</w:t>
      </w:r>
      <w:r>
        <w:rPr>
          <w:rStyle w:val="NormalTok"/>
        </w:rPr>
        <w:t xml:space="preserve">(reanalysis_cohens_d),</w:t>
      </w:r>
      <w:r>
        <w:rPr>
          <w:rStyle w:val="SpecialCharTok"/>
        </w:rPr>
        <w:t xml:space="preserve">!</w:t>
      </w:r>
      <w:r>
        <w:rPr>
          <w:rStyle w:val="FunctionTok"/>
        </w:rPr>
        <w:t xml:space="preserve">is.na</w:t>
      </w:r>
      <w:r>
        <w:rPr>
          <w:rStyle w:val="NormalTok"/>
        </w:rPr>
        <w:t xml:space="preserve">(reanalysis_degrees_of_freedom_1)</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tolarence_region_lower =</w:t>
      </w:r>
      <w:r>
        <w:rPr>
          <w:rStyle w:val="NormalTok"/>
        </w:rPr>
        <w:t xml:space="preserve"> original_cohens_d </w:t>
      </w:r>
      <w:r>
        <w:rPr>
          <w:rStyle w:val="SpecialCharTok"/>
        </w:rPr>
        <w:t xml:space="preserve">-</w:t>
      </w:r>
      <w:r>
        <w:rPr>
          <w:rStyle w:val="NormalTok"/>
        </w:rPr>
        <w:t xml:space="preserve"> </w:t>
      </w:r>
      <w:r>
        <w:rPr>
          <w:rStyle w:val="FloatTok"/>
        </w:rPr>
        <w:t xml:space="preserve">0.05</w:t>
      </w:r>
      <w:r>
        <w:rPr>
          <w:rStyle w:val="NormalTok"/>
        </w:rPr>
        <w:t xml:space="preserve">,</w:t>
      </w:r>
      <w:r>
        <w:br/>
      </w:r>
      <w:r>
        <w:rPr>
          <w:rStyle w:val="NormalTok"/>
        </w:rPr>
        <w:t xml:space="preserve">    </w:t>
      </w:r>
      <w:r>
        <w:rPr>
          <w:rStyle w:val="AttributeTok"/>
        </w:rPr>
        <w:t xml:space="preserve">tolarence_region_upper =</w:t>
      </w:r>
      <w:r>
        <w:rPr>
          <w:rStyle w:val="NormalTok"/>
        </w:rPr>
        <w:t xml:space="preserve"> original_cohens_d </w:t>
      </w:r>
      <w:r>
        <w:rPr>
          <w:rStyle w:val="SpecialCharTok"/>
        </w:rPr>
        <w:t xml:space="preserve">+</w:t>
      </w:r>
      <w:r>
        <w:rPr>
          <w:rStyle w:val="NormalTok"/>
        </w:rPr>
        <w:t xml:space="preserve"> </w:t>
      </w:r>
      <w:r>
        <w:rPr>
          <w:rStyle w:val="FloatTok"/>
        </w:rPr>
        <w:t xml:space="preserve">0.05</w:t>
      </w:r>
      <w:r>
        <w:rPr>
          <w:rStyle w:val="NormalTok"/>
        </w:rPr>
        <w:t xml:space="preserve">,</w:t>
      </w:r>
      <w:r>
        <w:br/>
      </w:r>
      <w:r>
        <w:rPr>
          <w:rStyle w:val="NormalTok"/>
        </w:rPr>
        <w:t xml:space="preserve">    </w:t>
      </w:r>
      <w:r>
        <w:rPr>
          <w:rStyle w:val="AttributeTok"/>
        </w:rPr>
        <w:t xml:space="preserve">is_within_region =</w:t>
      </w:r>
      <w:r>
        <w:rPr>
          <w:rStyle w:val="NormalTok"/>
        </w:rPr>
        <w:t xml:space="preserve"> dplyr</w:t>
      </w:r>
      <w:r>
        <w:rPr>
          <w:rStyle w:val="SpecialCharTok"/>
        </w:rPr>
        <w:t xml:space="preserve">::</w:t>
      </w:r>
      <w:r>
        <w:rPr>
          <w:rStyle w:val="FunctionTok"/>
        </w:rPr>
        <w:t xml:space="preserve">case_when</w:t>
      </w:r>
      <w:r>
        <w:rPr>
          <w:rStyle w:val="NormalTok"/>
        </w:rPr>
        <w:t xml:space="preserve">(</w:t>
      </w:r>
      <w:r>
        <w:br/>
      </w:r>
      <w:r>
        <w:rPr>
          <w:rStyle w:val="NormalTok"/>
        </w:rPr>
        <w:t xml:space="preserve">      reanalysis_cohens_d </w:t>
      </w:r>
      <w:r>
        <w:rPr>
          <w:rStyle w:val="SpecialCharTok"/>
        </w:rPr>
        <w:t xml:space="preserve">&lt;=</w:t>
      </w:r>
      <w:r>
        <w:rPr>
          <w:rStyle w:val="NormalTok"/>
        </w:rPr>
        <w:t xml:space="preserve"> tolarence_region_lower </w:t>
      </w:r>
      <w:r>
        <w:rPr>
          <w:rStyle w:val="SpecialCharTok"/>
        </w:rPr>
        <w:t xml:space="preserve">|</w:t>
      </w:r>
      <w:r>
        <w:br/>
      </w:r>
      <w:r>
        <w:rPr>
          <w:rStyle w:val="NormalTok"/>
        </w:rPr>
        <w:t xml:space="preserve">        reanalysis_cohens_d </w:t>
      </w:r>
      <w:r>
        <w:rPr>
          <w:rStyle w:val="SpecialCharTok"/>
        </w:rPr>
        <w:t xml:space="preserve">&gt;=</w:t>
      </w:r>
      <w:r>
        <w:rPr>
          <w:rStyle w:val="NormalTok"/>
        </w:rPr>
        <w:t xml:space="preserve"> tolarence_region_upper </w:t>
      </w:r>
      <w:r>
        <w:rPr>
          <w:rStyle w:val="SpecialCharTok"/>
        </w:rPr>
        <w:t xml:space="preserve">~</w:t>
      </w:r>
      <w:r>
        <w:rPr>
          <w:rStyle w:val="NormalTok"/>
        </w:rPr>
        <w:t xml:space="preserve"> </w:t>
      </w:r>
      <w:r>
        <w:rPr>
          <w:rStyle w:val="StringTok"/>
        </w:rPr>
        <w:t xml:space="preserve">"No"</w:t>
      </w:r>
      <w:r>
        <w:rPr>
          <w:rStyle w:val="NormalTok"/>
        </w:rPr>
        <w:t xml:space="preserve">,</w:t>
      </w:r>
      <w:r>
        <w:br/>
      </w:r>
      <w:r>
        <w:rPr>
          <w:rStyle w:val="NormalTok"/>
        </w:rPr>
        <w:t xml:space="preserve">      reanalysis_cohens_d </w:t>
      </w:r>
      <w:r>
        <w:rPr>
          <w:rStyle w:val="SpecialCharTok"/>
        </w:rPr>
        <w:t xml:space="preserve">&gt;=</w:t>
      </w:r>
      <w:r>
        <w:rPr>
          <w:rStyle w:val="NormalTok"/>
        </w:rPr>
        <w:t xml:space="preserve"> tolarence_region_lower </w:t>
      </w:r>
      <w:r>
        <w:rPr>
          <w:rStyle w:val="SpecialCharTok"/>
        </w:rPr>
        <w:t xml:space="preserve">|</w:t>
      </w:r>
      <w:r>
        <w:br/>
      </w:r>
      <w:r>
        <w:rPr>
          <w:rStyle w:val="NormalTok"/>
        </w:rPr>
        <w:t xml:space="preserve">        reanalysis_cohens_d </w:t>
      </w:r>
      <w:r>
        <w:rPr>
          <w:rStyle w:val="SpecialCharTok"/>
        </w:rPr>
        <w:t xml:space="preserve">&lt;=</w:t>
      </w:r>
      <w:r>
        <w:rPr>
          <w:rStyle w:val="NormalTok"/>
        </w:rPr>
        <w:t xml:space="preserve"> tolarence_region_upper </w:t>
      </w:r>
      <w:r>
        <w:rPr>
          <w:rStyle w:val="SpecialCharTok"/>
        </w:rPr>
        <w:t xml:space="preserve">~</w:t>
      </w:r>
      <w:r>
        <w:rPr>
          <w:rStyle w:val="NormalTok"/>
        </w:rPr>
        <w:t xml:space="preserve"> </w:t>
      </w:r>
      <w:r>
        <w:rPr>
          <w:rStyle w:val="StringTok"/>
        </w:rPr>
        <w:t xml:space="preserve">"Yes"</w:t>
      </w:r>
      <w:r>
        <w:br/>
      </w:r>
      <w:r>
        <w:rPr>
          <w:rStyle w:val="NormalTok"/>
        </w:rPr>
        <w:t xml:space="preserve">    ),</w:t>
      </w:r>
      <w:r>
        <w:br/>
      </w:r>
      <w:r>
        <w:rPr>
          <w:rStyle w:val="NormalTok"/>
        </w:rPr>
        <w:t xml:space="preserve">    </w:t>
      </w:r>
      <w:r>
        <w:rPr>
          <w:rStyle w:val="AttributeTok"/>
        </w:rPr>
        <w:t xml:space="preserve">is_within_region =</w:t>
      </w:r>
      <w:r>
        <w:rPr>
          <w:rStyle w:val="NormalTok"/>
        </w:rPr>
        <w:t xml:space="preserve"> </w:t>
      </w:r>
      <w:r>
        <w:rPr>
          <w:rStyle w:val="FunctionTok"/>
        </w:rPr>
        <w:t xml:space="preserve">factor</w:t>
      </w:r>
      <w:r>
        <w:rPr>
          <w:rStyle w:val="NormalTok"/>
        </w:rPr>
        <w:t xml:space="preserve">(is_within_region,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"Yes"</w:t>
      </w:r>
      <w:r>
        <w:rPr>
          <w:rStyle w:val="NormalTok"/>
        </w:rPr>
        <w:t xml:space="preserve">, </w:t>
      </w:r>
      <w:r>
        <w:rPr>
          <w:rStyle w:val="StringTok"/>
        </w:rPr>
        <w:t xml:space="preserve">"No"</w:t>
      </w:r>
      <w:r>
        <w:rPr>
          <w:rStyle w:val="NormalTok"/>
        </w:rPr>
        <w:t xml:space="preserve">))</w:t>
      </w:r>
      <w:r>
        <w:br/>
      </w:r>
      <w:r>
        <w:rPr>
          <w:rStyle w:val="NormalTok"/>
        </w:rPr>
        <w:t xml:space="preserve">  )</w:t>
      </w:r>
      <w:r>
        <w:br/>
      </w:r>
      <w:r>
        <w:br/>
      </w:r>
      <w:r>
        <w:br/>
      </w:r>
      <w:r>
        <w:rPr>
          <w:rStyle w:val="NormalTok"/>
        </w:rPr>
        <w:t xml:space="preserve">df_region_plot </w:t>
      </w:r>
      <w:r>
        <w:rPr>
          <w:rStyle w:val="OtherTok"/>
        </w:rPr>
        <w:t xml:space="preserve">&lt;-</w:t>
      </w:r>
      <w:r>
        <w:br/>
      </w:r>
      <w:r>
        <w:rPr>
          <w:rStyle w:val="NormalTok"/>
        </w:rPr>
        <w:t xml:space="preserve">  </w:t>
      </w:r>
      <w:r>
        <w:rPr>
          <w:rStyle w:val="FunctionTok"/>
        </w:rPr>
        <w:t xml:space="preserve">plot_rain</w:t>
      </w:r>
      <w:r>
        <w:rPr>
          <w:rStyle w:val="NormalTok"/>
        </w:rPr>
        <w:t xml:space="preserve">(</w:t>
      </w:r>
      <w:r>
        <w:br/>
      </w:r>
      <w:r>
        <w:rPr>
          <w:rStyle w:val="NormalTok"/>
        </w:rPr>
        <w:t xml:space="preserve">    </w:t>
      </w:r>
      <w:r>
        <w:rPr>
          <w:rStyle w:val="AttributeTok"/>
        </w:rPr>
        <w:t xml:space="preserve">data =</w:t>
      </w:r>
      <w:r>
        <w:rPr>
          <w:rStyle w:val="NormalTok"/>
        </w:rPr>
        <w:t xml:space="preserve"> df_region_data,</w:t>
      </w:r>
      <w:r>
        <w:br/>
      </w:r>
      <w:r>
        <w:rPr>
          <w:rStyle w:val="NormalTok"/>
        </w:rPr>
        <w:t xml:space="preserve">    </w:t>
      </w:r>
      <w:r>
        <w:rPr>
          <w:rStyle w:val="AttributeTok"/>
        </w:rPr>
        <w:t xml:space="preserve">grouping_var =</w:t>
      </w:r>
      <w:r>
        <w:rPr>
          <w:rStyle w:val="NormalTok"/>
        </w:rPr>
        <w:t xml:space="preserve"> is_within_region,</w:t>
      </w:r>
      <w:r>
        <w:br/>
      </w:r>
      <w:r>
        <w:rPr>
          <w:rStyle w:val="NormalTok"/>
        </w:rPr>
        <w:t xml:space="preserve">    </w:t>
      </w:r>
      <w:r>
        <w:rPr>
          <w:rStyle w:val="AttributeTok"/>
        </w:rPr>
        <w:t xml:space="preserve">response_var =</w:t>
      </w:r>
      <w:r>
        <w:rPr>
          <w:rStyle w:val="NormalTok"/>
        </w:rPr>
        <w:t xml:space="preserve"> reanalysis_degrees_of_freedom_1,</w:t>
      </w:r>
      <w:r>
        <w:br/>
      </w:r>
      <w:r>
        <w:rPr>
          <w:rStyle w:val="NormalTok"/>
        </w:rPr>
        <w:t xml:space="preserve">    </w:t>
      </w:r>
      <w:r>
        <w:rPr>
          <w:rStyle w:val="AttributeTok"/>
        </w:rPr>
        <w:t xml:space="preserve">y_lab =</w:t>
      </w:r>
      <w:r>
        <w:rPr>
          <w:rStyle w:val="NormalTok"/>
        </w:rPr>
        <w:t xml:space="preserve"> </w:t>
      </w:r>
      <w:r>
        <w:rPr>
          <w:rStyle w:val="StringTok"/>
        </w:rPr>
        <w:t xml:space="preserve">"Log10 degrees of freedom"</w:t>
      </w:r>
      <w:r>
        <w:rPr>
          <w:rStyle w:val="NormalTok"/>
        </w:rPr>
        <w:t xml:space="preserve">,</w:t>
      </w:r>
      <w:r>
        <w:br/>
      </w:r>
      <w:r>
        <w:rPr>
          <w:rStyle w:val="NormalTok"/>
        </w:rPr>
        <w:t xml:space="preserve">    </w:t>
      </w:r>
      <w:r>
        <w:rPr>
          <w:rStyle w:val="AttributeTok"/>
        </w:rPr>
        <w:t xml:space="preserve">x_lab =</w:t>
      </w:r>
      <w:r>
        <w:rPr>
          <w:rStyle w:val="NormalTok"/>
        </w:rPr>
        <w:t xml:space="preserve"> </w:t>
      </w:r>
      <w:r>
        <w:rPr>
          <w:rStyle w:val="StringTok"/>
        </w:rPr>
        <w:t xml:space="preserve">"Is the re-analysis effect size</w:t>
      </w:r>
      <w:r>
        <w:rPr>
          <w:rStyle w:val="SpecialCharTok"/>
        </w:rPr>
        <w:t xml:space="preserve">\n</w:t>
      </w:r>
      <w:r>
        <w:rPr>
          <w:rStyle w:val="StringTok"/>
        </w:rPr>
        <w:t xml:space="preserve">within the tolerance region?"</w:t>
      </w:r>
      <w:r>
        <w:rPr>
          <w:rStyle w:val="NormalTok"/>
        </w:rPr>
        <w:t xml:space="preserve">,</w:t>
      </w:r>
      <w:r>
        <w:br/>
      </w:r>
      <w:r>
        <w:rPr>
          <w:rStyle w:val="NormalTok"/>
        </w:rPr>
        <w:t xml:space="preserve">    </w:t>
      </w:r>
      <w:r>
        <w:rPr>
          <w:rStyle w:val="AttributeTok"/>
        </w:rPr>
        <w:t xml:space="preserve">trans =</w:t>
      </w:r>
      <w:r>
        <w:rPr>
          <w:rStyle w:val="NormalTok"/>
        </w:rPr>
        <w:t xml:space="preserve"> </w:t>
      </w:r>
      <w:r>
        <w:rPr>
          <w:rStyle w:val="StringTok"/>
        </w:rPr>
        <w:t xml:space="preserve">"log10"</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 </w:t>
      </w:r>
      <w:r>
        <w:rPr>
          <w:rStyle w:val="DecValTok"/>
        </w:rPr>
        <w:t xml:space="preserve">10000</w:t>
      </w:r>
      <w:r>
        <w:rPr>
          <w:rStyle w:val="NormalTok"/>
        </w:rPr>
        <w:t xml:space="preserve">, </w:t>
      </w:r>
      <w:r>
        <w:rPr>
          <w:rStyle w:val="DecValTok"/>
        </w:rPr>
        <w:t xml:space="preserve">100000</w:t>
      </w:r>
      <w:r>
        <w:rPr>
          <w:rStyle w:val="NormalTok"/>
        </w:rPr>
        <w:t xml:space="preserve">)</w:t>
      </w:r>
      <w:r>
        <w:br/>
      </w:r>
      <w:r>
        <w:rPr>
          <w:rStyle w:val="NormalTok"/>
        </w:rPr>
        <w:t xml:space="preserve">  ) </w:t>
      </w:r>
      <w:r>
        <w:rPr>
          <w:rStyle w:val="SpecialCharTok"/>
        </w:rPr>
        <w:t xml:space="preserve">+</w:t>
      </w:r>
      <w:r>
        <w:br/>
      </w:r>
      <w:r>
        <w:rPr>
          <w:rStyle w:val="NormalTok"/>
        </w:rPr>
        <w:t xml:space="preserve">  ggplot2</w:t>
      </w:r>
      <w:r>
        <w:rPr>
          <w:rStyle w:val="SpecialCharTok"/>
        </w:rPr>
        <w:t xml:space="preserve">::</w:t>
      </w:r>
      <w:r>
        <w:rPr>
          <w:rStyle w:val="FunctionTok"/>
        </w:rPr>
        <w:t xml:space="preserve">coord_flip</w:t>
      </w:r>
      <w:r>
        <w:rPr>
          <w:rStyle w:val="NormalTok"/>
        </w:rPr>
        <w:t xml:space="preserve">() </w:t>
      </w:r>
      <w:r>
        <w:rPr>
          <w:rStyle w:val="SpecialCharTok"/>
        </w:rPr>
        <w:t xml:space="preserve">+</w:t>
      </w:r>
      <w:r>
        <w:br/>
      </w:r>
      <w:r>
        <w:rPr>
          <w:rStyle w:val="NormalTok"/>
        </w:rPr>
        <w:t xml:space="preserve">  ggplot2</w:t>
      </w:r>
      <w:r>
        <w:rPr>
          <w:rStyle w:val="SpecialCharTok"/>
        </w:rPr>
        <w:t xml:space="preserve">::</w:t>
      </w:r>
      <w:r>
        <w:rPr>
          <w:rStyle w:val="FunctionTok"/>
        </w:rPr>
        <w:t xml:space="preserve">theme</w:t>
      </w:r>
      <w:r>
        <w:rPr>
          <w:rStyle w:val="NormalTok"/>
        </w:rPr>
        <w:t xml:space="preserve">(</w:t>
      </w:r>
      <w:r>
        <w:br/>
      </w:r>
      <w:r>
        <w:rPr>
          <w:rStyle w:val="NormalTok"/>
        </w:rPr>
        <w:t xml:space="preserve">    </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9</w:t>
      </w:r>
      <w:r>
        <w:rPr>
          <w:rStyle w:val="NormalTok"/>
        </w:rPr>
        <w:t xml:space="preserve">)</w:t>
      </w:r>
      <w:r>
        <w:br/>
      </w:r>
      <w:r>
        <w:rPr>
          <w:rStyle w:val="NormalTok"/>
        </w:rPr>
        <w:t xml:space="preserve">  )</w:t>
      </w:r>
      <w:r>
        <w:br/>
      </w:r>
      <w:r>
        <w:br/>
      </w:r>
      <w:r>
        <w:rPr>
          <w:rStyle w:val="NormalTok"/>
        </w:rPr>
        <w:t xml:space="preserve">ggplot2</w:t>
      </w:r>
      <w:r>
        <w:rPr>
          <w:rStyle w:val="SpecialCharTok"/>
        </w:rPr>
        <w:t xml:space="preserve">::</w:t>
      </w:r>
      <w:r>
        <w:rPr>
          <w:rStyle w:val="FunctionTok"/>
        </w:rPr>
        <w:t xml:space="preserve">ggsave</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"figures/effect_region_df_plot.jpg"</w:t>
      </w:r>
      <w:r>
        <w:rPr>
          <w:rStyle w:val="NormalTok"/>
        </w:rPr>
        <w:t xml:space="preserve">), df_region_plot, </w:t>
      </w:r>
      <w:r>
        <w:rPr>
          <w:rStyle w:val="AttributeTok"/>
        </w:rPr>
        <w:t xml:space="preserve">dpi =</w:t>
      </w:r>
      <w:r>
        <w:rPr>
          <w:rStyle w:val="NormalTok"/>
        </w:rPr>
        <w:t xml:space="preserve"> </w:t>
      </w:r>
      <w:r>
        <w:rPr>
          <w:rStyle w:val="DecValTok"/>
        </w:rPr>
        <w:t xml:space="preserve">300</w:t>
      </w:r>
      <w:r>
        <w:rPr>
          <w:rStyle w:val="NormalTok"/>
        </w:rPr>
        <w:t xml:space="preserve">)</w:t>
      </w:r>
    </w:p>
    <w:p>
      <w:pPr>
        <w:pStyle w:val="SourceCode"/>
      </w:pPr>
      <w:r>
        <w:rPr>
          <w:rStyle w:val="VerbatimChar"/>
        </w:rPr>
        <w:t xml:space="preserve">Saving 5 x 4 in image</w:t>
      </w:r>
    </w:p>
    <w:p>
      <w:pPr>
        <w:pStyle w:val="SourceCode"/>
      </w:pPr>
      <w:r>
        <w:rPr>
          <w:rStyle w:val="NormalTok"/>
        </w:rPr>
        <w:t xml:space="preserve">df_region_plot</w:t>
      </w:r>
    </w:p>
    <w:p>
      <w:pPr>
        <w:pStyle w:val="FirstParagraph"/>
      </w:pPr>
      <w:r>
        <w:drawing>
          <wp:inline>
            <wp:extent cx="4620126" cy="3696101"/>
            <wp:effectExtent b="0" l="0" r="0" t="0"/>
            <wp:docPr descr="" title="" id="166" name="Picture"/>
            <a:graphic>
              <a:graphicData uri="http://schemas.openxmlformats.org/drawingml/2006/picture">
                <pic:pic>
                  <pic:nvPicPr>
                    <pic:cNvPr descr="multi100_results_files/figure-docx/unnamed-chunk-86-1.png" id="167" name="Picture"/>
                    <pic:cNvPicPr>
                      <a:picLocks noChangeArrowheads="1" noChangeAspect="1"/>
                    </pic:cNvPicPr>
                  </pic:nvPicPr>
                  <pic:blipFill>
                    <a:blip r:embed="rId165"/>
                    <a:stretch>
                      <a:fillRect/>
                    </a:stretch>
                  </pic:blipFill>
                  <pic:spPr bwMode="auto">
                    <a:xfrm>
                      <a:off x="0" y="0"/>
                      <a:ext cx="4620126" cy="3696101"/>
                    </a:xfrm>
                    <a:prstGeom prst="rect">
                      <a:avLst/>
                    </a:prstGeom>
                    <a:noFill/>
                    <a:ln w="9525">
                      <a:noFill/>
                      <a:headEnd/>
                      <a:tailEnd/>
                    </a:ln>
                  </pic:spPr>
                </pic:pic>
              </a:graphicData>
            </a:graphic>
          </wp:inline>
        </w:drawing>
      </w:r>
    </w:p>
    <w:bookmarkEnd w:id="168"/>
    <w:bookmarkEnd w:id="169"/>
    <w:bookmarkStart w:id="174" w:name="additional-analyses"/>
    <w:p>
      <w:pPr>
        <w:pStyle w:val="Heading4"/>
      </w:pPr>
      <w:r>
        <w:t xml:space="preserve">Additional analyses</w:t>
      </w:r>
    </w:p>
    <w:p>
      <w:pPr>
        <w:pStyle w:val="FirstParagraph"/>
      </w:pPr>
      <w:r>
        <w:t xml:space="preserve">While Cohen’s d has the advantage of being easily interpretable and comparable across different analyses, it was designed to compare the means of two groups and its calculation relies on assumptions that can be compromised in more complex designs. Following the conduct of the present project, Kümpel &amp; Hoffmann (2022) proposed a formal definition of generalized marginal effects (gMEs) which measure is comparable across different statistical models. When standardized, the value of gMEs is equal to the value of Cohen’s d where the latter effect size measure is strictly applicable. Since we had not originally planned to calculate standardized gMEs, we did not collect all required analysis outputs to compute them. As a result, we calculated gMEs only for a sub-sample of the 100 studies. See</w:t>
      </w:r>
      <w:r>
        <w:t xml:space="preserve"> </w:t>
      </w:r>
      <w:hyperlink w:anchor="fig-gme">
        <w:r>
          <w:rPr>
            <w:rStyle w:val="Hyperlink"/>
          </w:rPr>
          <w:t xml:space="preserve">Figure 30</w:t>
        </w:r>
      </w:hyperlink>
      <w:r>
        <w:t xml:space="preserve"> </w:t>
      </w:r>
      <w:r>
        <w:t xml:space="preserve">for the results of the gME calculation for our sub-sample of studies.</w:t>
      </w:r>
    </w:p>
    <w:tbl>
      <w:tblPr>
        <w:tblStyle w:val="Table"/>
        <w:tblW w:type="pct" w:w="5000"/>
        <w:tblLook w:firstRow="0" w:lastRow="0" w:firstColumn="0" w:lastColumn="0" w:noHBand="0" w:noVBand="0" w:val="0000"/>
        <w:jc w:val="start"/>
      </w:tblPr>
      <w:tblGrid>
        <w:gridCol w:w="7920"/>
      </w:tblGrid>
      <w:tr>
        <w:tc>
          <w:tcPr/>
          <w:bookmarkStart w:id="173" w:name="fig-gme"/>
          <w:p>
            <w:pPr>
              <w:jc w:val="center"/>
            </w:pPr>
            <w:r>
              <w:drawing>
                <wp:inline>
                  <wp:extent cx="5334000" cy="8001000"/>
                  <wp:effectExtent b="0" l="0" r="0" t="0"/>
                  <wp:docPr descr="" title="" id="171" name="Picture"/>
                  <a:graphic>
                    <a:graphicData uri="http://schemas.openxmlformats.org/drawingml/2006/picture">
                      <pic:pic>
                        <pic:nvPicPr>
                          <pic:cNvPr descr="../generalized%20Marginal%20Effects/gMEs.png" id="172" name="Picture"/>
                          <pic:cNvPicPr>
                            <a:picLocks noChangeArrowheads="1" noChangeAspect="1"/>
                          </pic:cNvPicPr>
                        </pic:nvPicPr>
                        <pic:blipFill>
                          <a:blip r:embed="rId170"/>
                          <a:stretch>
                            <a:fillRect/>
                          </a:stretch>
                        </pic:blipFill>
                        <pic:spPr bwMode="auto">
                          <a:xfrm>
                            <a:off x="0" y="0"/>
                            <a:ext cx="5334000" cy="8001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30: For each original and re-analysis of papers 22, 40, 63, and 75, this figure shows a forest-density plot of non-standardized gME values as defined by Kümpel &amp; Hoffmann (2022). Specifically, the black dots give the point estimates of the average change in target expectation attributed to the regressor of interest by each analysis, while the thicker and thinner lines visualize the 0.66 and 0.95 quantiles of the corresponding densities. Study numbers correspond to studies listed in Table S1.</w:t>
            </w:r>
          </w:p>
          <w:bookmarkEnd w:id="173"/>
        </w:tc>
      </w:tr>
    </w:tbl>
    <w:bookmarkEnd w:id="174"/>
    <w:bookmarkEnd w:id="175"/>
    <w:bookmarkEnd w:id="17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70" Target="media/rId170.png" /><Relationship Type="http://schemas.openxmlformats.org/officeDocument/2006/relationships/image" Id="rId21" Target="media/rId21.png" /><Relationship Type="http://schemas.openxmlformats.org/officeDocument/2006/relationships/image" Id="rId33" Target="media/rId33.png" /><Relationship Type="http://schemas.openxmlformats.org/officeDocument/2006/relationships/image" Id="rId80" Target="media/rId80.png" /><Relationship Type="http://schemas.openxmlformats.org/officeDocument/2006/relationships/image" Id="rId94" Target="media/rId94.png" /><Relationship Type="http://schemas.openxmlformats.org/officeDocument/2006/relationships/image" Id="rId104" Target="media/rId104.png" /><Relationship Type="http://schemas.openxmlformats.org/officeDocument/2006/relationships/image" Id="rId72" Target="media/rId72.png" /><Relationship Type="http://schemas.openxmlformats.org/officeDocument/2006/relationships/image" Id="rId68" Target="media/rId68.png" /><Relationship Type="http://schemas.openxmlformats.org/officeDocument/2006/relationships/image" Id="rId110" Target="media/rId110.png" /><Relationship Type="http://schemas.openxmlformats.org/officeDocument/2006/relationships/image" Id="rId89" Target="media/rId89.png" /><Relationship Type="http://schemas.openxmlformats.org/officeDocument/2006/relationships/image" Id="rId25" Target="media/rId25.png" /><Relationship Type="http://schemas.openxmlformats.org/officeDocument/2006/relationships/image" Id="rId76" Target="media/rId76.png" /><Relationship Type="http://schemas.openxmlformats.org/officeDocument/2006/relationships/image" Id="rId115" Target="media/rId115.png" /><Relationship Type="http://schemas.openxmlformats.org/officeDocument/2006/relationships/image" Id="rId122" Target="media/rId122.png" /><Relationship Type="http://schemas.openxmlformats.org/officeDocument/2006/relationships/image" Id="rId132" Target="media/rId132.png" /><Relationship Type="http://schemas.openxmlformats.org/officeDocument/2006/relationships/image" Id="rId150" Target="media/rId150.png" /><Relationship Type="http://schemas.openxmlformats.org/officeDocument/2006/relationships/image" Id="rId155" Target="media/rId155.png" /><Relationship Type="http://schemas.openxmlformats.org/officeDocument/2006/relationships/image" Id="rId141" Target="media/rId141.png" /><Relationship Type="http://schemas.openxmlformats.org/officeDocument/2006/relationships/image" Id="rId136" Target="media/rId136.png" /><Relationship Type="http://schemas.openxmlformats.org/officeDocument/2006/relationships/image" Id="rId145" Target="media/rId145.png"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image" Id="rId51" Target="media/rId51.png" /><Relationship Type="http://schemas.openxmlformats.org/officeDocument/2006/relationships/image" Id="rId29" Target="media/rId29.png" /><Relationship Type="http://schemas.openxmlformats.org/officeDocument/2006/relationships/image" Id="rId161" Target="media/rId161.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85" Target="media/rId85.png" /><Relationship Type="http://schemas.openxmlformats.org/officeDocument/2006/relationships/image" Id="rId99" Target="media/rId99.png" /><Relationship Type="http://schemas.openxmlformats.org/officeDocument/2006/relationships/image" Id="rId46" Target="media/rId46.png" /><Relationship Type="http://schemas.openxmlformats.org/officeDocument/2006/relationships/image" Id="rId119" Target="media/rId119.png" /><Relationship Type="http://schemas.openxmlformats.org/officeDocument/2006/relationships/image" Id="rId126" Target="media/rId126.png" /><Relationship Type="http://schemas.openxmlformats.org/officeDocument/2006/relationships/image" Id="rId129" Target="media/rId129.png" /><Relationship Type="http://schemas.openxmlformats.org/officeDocument/2006/relationships/image" Id="rId165" Target="media/rId16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Results</dc:title>
  <dc:creator/>
  <cp:keywords/>
  <dcterms:created xsi:type="dcterms:W3CDTF">2024-04-16T11:32:40Z</dcterms:created>
  <dcterms:modified xsi:type="dcterms:W3CDTF">2024-04-16T11:32:40Z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editor_options">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