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png" ContentType="image/png"/>
  <Override PartName="/word/media/rId33.png" ContentType="image/png"/>
  <Override PartName="/word/media/rId80.png" ContentType="image/png"/>
  <Override PartName="/word/media/rId94.png" ContentType="image/png"/>
  <Override PartName="/word/media/rId104.png" ContentType="image/png"/>
  <Override PartName="/word/media/rId72.png" ContentType="image/png"/>
  <Override PartName="/word/media/rId68.png" ContentType="image/png"/>
  <Override PartName="/word/media/rId110.png" ContentType="image/png"/>
  <Override PartName="/word/media/rId89.png" ContentType="image/png"/>
  <Override PartName="/word/media/rId25.png" ContentType="image/png"/>
  <Override PartName="/word/media/rId76.png" ContentType="image/png"/>
  <Override PartName="/word/media/rId115.png" ContentType="image/png"/>
  <Override PartName="/word/media/rId122.png" ContentType="image/png"/>
  <Override PartName="/word/media/rId132.png" ContentType="image/png"/>
  <Override PartName="/word/media/rId150.png" ContentType="image/png"/>
  <Override PartName="/word/media/rId155.png" ContentType="image/png"/>
  <Override PartName="/word/media/rId141.png" ContentType="image/png"/>
  <Override PartName="/word/media/rId136.png" ContentType="image/png"/>
  <Override PartName="/word/media/rId145.png" ContentType="image/png"/>
  <Override PartName="/word/media/rId55.png" ContentType="image/png"/>
  <Override PartName="/word/media/rId59.png" ContentType="image/png"/>
  <Override PartName="/word/media/rId51.png" ContentType="image/png"/>
  <Override PartName="/word/media/rId29.png" ContentType="image/png"/>
  <Override PartName="/word/media/rId161.png" ContentType="image/png"/>
  <Override PartName="/word/media/rId37.png" ContentType="image/png"/>
  <Override PartName="/word/media/rId41.png" ContentType="image/png"/>
  <Override PartName="/word/media/rId85.png" ContentType="image/png"/>
  <Override PartName="/word/media/rId99.png" ContentType="image/png"/>
  <Override PartName="/word/media/rId46.png" ContentType="image/png"/>
  <Override PartName="/word/media/rId119.png" ContentType="image/png"/>
  <Override PartName="/word/media/rId126.png" ContentType="image/png"/>
  <Override PartName="/word/media/rId129.png" ContentType="image/png"/>
  <Override PartName="/word/media/rId1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Results_barna</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42 signed up to analyse at least one dataset and submitted their work by the deadline or an extended deadline.</w:t>
      </w:r>
    </w:p>
    <w:p>
      <w:pPr>
        <w:pStyle w:val="BodyText"/>
      </w:pPr>
      <w:r>
        <w:t xml:space="preserve">Throughout the project, 42 re-analyses have been submitted. This number is higher than the number of co-analysts as some co-analysts volunteered to analyse more than one dataset.</w:t>
      </w:r>
    </w:p>
    <w:p>
      <w:pPr>
        <w:pStyle w:val="BodyText"/>
      </w:pPr>
      <w:r>
        <w:t xml:space="preserve">Out of the submitted analyses 1 of them was omitted from the summary analysis as its analysis failed the peer evaluation and an additional 0 analyses were excluded due to incomplete responses.</w:t>
      </w:r>
    </w:p>
    <w:p>
      <w:pPr>
        <w:pStyle w:val="BodyText"/>
      </w:pPr>
      <w:r>
        <w:t xml:space="preserve">As a result, we ended up with 41 re-analyses, submitted by 41 co-analysts.</w:t>
      </w:r>
    </w:p>
    <w:p>
      <w:pPr>
        <w:pStyle w:val="BodyText"/>
      </w:pPr>
      <w:r>
        <w:t xml:space="preserve">Although we invited more than 5 co-analysts to each of the 100 studies, due to drop-outs and peer evaluation exclusions the final number of completed analyses ranged between 5 and 6. Table 1 shows the distribution of of the number of analyses for individual studies.</w:t>
      </w:r>
    </w:p>
    <w:p>
      <w:pPr>
        <w:pStyle w:val="BodyText"/>
      </w:pPr>
      <w:r>
        <w:rPr>
          <w:bCs/>
          <w:b/>
        </w:rPr>
        <w:t xml:space="preserve">Table 1.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 professors, 6 associate professors, 11 assistant professors, 7 post-doctoral researchers, 10 doctoral students, 5 from other academic/research positions.</w:t>
      </w:r>
    </w:p>
    <w:p>
      <w:pPr>
        <w:pStyle w:val="BodyText"/>
      </w:pPr>
      <w:r>
        <w:t xml:space="preserve">The gender distribution of the co-analysts is as follows: 16 female, 24 male, other, and 1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33 young adults (-39 years); 8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kept only their age at the time of their first submission. Moreover, one analyst is excluded because they did not disclose their age.</w:t>
            </w:r>
          </w:p>
          <w:bookmarkEnd w:id="24"/>
        </w:tc>
      </w:tr>
    </w:tbl>
    <w:p>
      <w:pPr>
        <w:pStyle w:val="BodyText"/>
      </w:pPr>
      <w:r>
        <w:t xml:space="preserve">Regarding the highest level of education, co-analyst reported High-school diploma or equivalent, 1 co-analysts had Bachelor’s degree or equivalent, 12 Master’s degree or equivalent, 28 had Doctoral degree or equivalent. In case the analysts completed more than one re-analysis and they advanced in their studies by the time of their second analysis, we kept only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3 were from Asia, from Oceania, 26 from Europe, 11 from North America, 0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2 summarizes the distribution of their disciplinary orientation. Co-analysts from Psychology and Economics disciplines participated in the highest ratio in this study.</w:t>
      </w:r>
    </w:p>
    <w:p>
      <w:pPr>
        <w:pStyle w:val="BodyText"/>
      </w:pPr>
      <w:r>
        <w:rPr>
          <w:bCs/>
          <w:b/>
        </w:rPr>
        <w:t xml:space="preserve">Table 2.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9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w:t>
      </w:r>
      <w:r>
        <w:t xml:space="preserve">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p>
      <w:pPr>
        <w:pStyle w:val="SourceCode"/>
      </w:pPr>
      <w:r>
        <w:rPr>
          <w:rStyle w:val="VerbatimChar"/>
        </w:rPr>
        <w:t xml:space="preserve">Warning: There was 1 warning in `mutate()`.</w:t>
      </w:r>
      <w:r>
        <w:br/>
      </w:r>
      <w:r>
        <w:rPr>
          <w:rStyle w:val="VerbatimChar"/>
        </w:rPr>
        <w:t xml:space="preserve">ℹ In argument: `expertise_self_rating = fct_relevel(...)`.</w:t>
      </w:r>
      <w:r>
        <w:br/>
      </w:r>
      <w:r>
        <w:rPr>
          <w:rStyle w:val="VerbatimChar"/>
        </w:rPr>
        <w:t xml:space="preserve">Caused by warning:</w:t>
      </w:r>
      <w:r>
        <w:br/>
      </w:r>
      <w:r>
        <w:rPr>
          <w:rStyle w:val="VerbatimChar"/>
        </w:rPr>
        <w:t xml:space="preserve">! 3 unknown levels in `f`: 1 (Beginner), 2, and 3</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17.07 % (7 out of 41)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(48.91%), STATA (23.91%), and Jamovi (8.7%) were the most popular responses.</w:t>
      </w:r>
      <w:r>
        <w:t xml:space="preserve"> </w:t>
      </w:r>
      <w:hyperlink w:anchor="fig-software">
        <w:r>
          <w:rPr>
            <w:rStyle w:val="Hyperlink"/>
          </w:rPr>
          <w:t xml:space="preserve">Figure 6</w:t>
        </w:r>
      </w:hyperlink>
      <w:r>
        <w:t xml:space="preserve"> </w:t>
      </w:r>
      <w:r>
        <w:t xml:space="preserve">shows the distribution of these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to make their result comparable to a single result in the original study (see Methods for more details).</w:t>
      </w:r>
    </w:p>
    <w:p>
      <w:pPr>
        <w:pStyle w:val="BodyText"/>
      </w:pPr>
      <w:r>
        <w:t xml:space="preserve">In Task 2, when we asked the co-analysts to present one main statistical result, in 95.12% of the analyses (39 out of 41), conclusion was based on the p-value. Bayes Factor was used in 4.88% of the cases (2 out of 41).</w:t>
      </w:r>
    </w:p>
    <w:p>
      <w:pPr>
        <w:pStyle w:val="BodyText"/>
      </w:pPr>
      <w:r>
        <w:t xml:space="preserve">For 46.34 % (19 out of 41) of the analyses, the co-analysts reported having to make additional calculations in Task 2 compared to Task 1. In the remaining 53.66% (22 out of 41) of the cases, the co-analysts indicated that despite the requirements of the instructions, they could conduct the same analyses as in Task 1.</w:t>
      </w:r>
    </w:p>
    <w:p>
      <w:pPr>
        <w:pStyle w:val="BodyText"/>
      </w:pPr>
      <w:r>
        <w:t xml:space="preserve">In Task 2, 2.44% of the results (1 out of 41)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4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reported total hours the analyst spent on Task 1 and Task 2 together. In case an analyst completed multiple re-analyses, we kept all their responses for this figure. One response was excluded due to being an outlier (999 hours).</w:t>
            </w:r>
          </w:p>
          <w:bookmarkEnd w:id="49"/>
        </w:tc>
      </w:tr>
    </w:tbl>
    <w:p>
      <w:pPr>
        <w:pStyle w:val="BodyText"/>
      </w:pPr>
      <w:r>
        <w:t xml:space="preserve">In Task 2 94% of the co-analyst used unique analytical pipelines based on the statistical test family and the value of the test statistics they arrived at. In total 87.5% of the papers had completely unique reanalysis attempts.</w:t>
      </w:r>
    </w:p>
    <w:bookmarkEnd w:id="50"/>
    <w:bookmarkStart w:id="67" w:name="peer-evaluation"/>
    <w:p>
      <w:pPr>
        <w:pStyle w:val="Heading2"/>
      </w:pPr>
      <w:r>
        <w:t xml:space="preserve">Peer evaluation</w:t>
      </w:r>
    </w:p>
    <w:bookmarkStart w:id="64" w:name="peer-evaluators"/>
    <w:p>
      <w:pPr>
        <w:pStyle w:val="Heading3"/>
      </w:pPr>
      <w:r>
        <w:t xml:space="preserve">Peer evaluators</w:t>
      </w:r>
    </w:p>
    <w:bookmarkStart w:id="63" w:name="Xb3ae8a7203a65a5c3164fe06b8f5819a9169b6e"/>
    <w:p>
      <w:pPr>
        <w:pStyle w:val="Heading4"/>
      </w:pPr>
      <w:r>
        <w:t xml:space="preserve">Basic demographics of the peer evaluators</w:t>
      </w:r>
    </w:p>
    <w:p>
      <w:pPr>
        <w:pStyle w:val="FirstParagraph"/>
      </w:pPr>
      <w:hyperlink w:anchor="fig-evaluator-years">
        <w:r>
          <w:rPr>
            <w:rStyle w:val="Hyperlink"/>
          </w:rPr>
          <w:t xml:space="preserve">Figure 8</w:t>
        </w:r>
      </w:hyperlink>
      <w:r>
        <w:t xml:space="preserve"> </w:t>
      </w:r>
      <w:r>
        <w:t xml:space="preserve">shows that most peer evaluators have many years of experience with conducting statistical analysis.</w:t>
      </w:r>
    </w:p>
    <w:tbl>
      <w:tblPr>
        <w:tblStyle w:val="Table"/>
        <w:tblW w:type="pct" w:w="5000"/>
        <w:tblLook w:firstRow="0" w:lastRow="0" w:firstColumn="0" w:lastColumn="0" w:noHBand="0" w:noVBand="0" w:val="0000"/>
        <w:jc w:val="start"/>
      </w:tblPr>
      <w:tblGrid>
        <w:gridCol w:w="7920"/>
      </w:tblGrid>
      <w:tr>
        <w:tc>
          <w:tcPr/>
          <w:bookmarkStart w:id="54" w:name="fig-evaluator-years"/>
          <w:p>
            <w:pPr>
              <w:jc w:val="center"/>
            </w:pPr>
            <w:r>
              <w:drawing>
                <wp:inline>
                  <wp:extent cx="4620126" cy="3696101"/>
                  <wp:effectExtent b="0" l="0" r="0" t="0"/>
                  <wp:docPr descr="" title="" id="52" name="Picture"/>
                  <a:graphic>
                    <a:graphicData uri="http://schemas.openxmlformats.org/drawingml/2006/picture">
                      <pic:pic>
                        <pic:nvPicPr>
                          <pic:cNvPr descr="multi100_results_files/figure-docx/fig-evaluator-yea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peer evaluators’ years of experience with data analysis. When a peer evaluator submitted more than one evaluation and a year passed between the responses, we kept only their first response.</w:t>
            </w:r>
          </w:p>
          <w:bookmarkEnd w:id="54"/>
        </w:tc>
      </w:tr>
    </w:tbl>
    <w:p>
      <w:pPr>
        <w:pStyle w:val="BodyText"/>
      </w:pPr>
      <w:hyperlink w:anchor="fig-evaluator-analysis-frequency">
        <w:r>
          <w:rPr>
            <w:rStyle w:val="Hyperlink"/>
          </w:rPr>
          <w:t xml:space="preserve">Figure 9</w:t>
        </w:r>
      </w:hyperlink>
      <w:r>
        <w:t xml:space="preserve"> </w:t>
      </w:r>
      <w:r>
        <w:t xml:space="preserve">indicates that peer evaluators regularly perform data analysis.</w:t>
      </w:r>
    </w:p>
    <w:tbl>
      <w:tblPr>
        <w:tblStyle w:val="Table"/>
        <w:tblW w:type="pct" w:w="5000"/>
        <w:tblLook w:firstRow="0" w:lastRow="0" w:firstColumn="0" w:lastColumn="0" w:noHBand="0" w:noVBand="0" w:val="0000"/>
        <w:jc w:val="start"/>
      </w:tblPr>
      <w:tblGrid>
        <w:gridCol w:w="7920"/>
      </w:tblGrid>
      <w:tr>
        <w:tc>
          <w:tcPr/>
          <w:bookmarkStart w:id="58" w:name="fig-evaluator-analysis-frequency"/>
          <w:p>
            <w:pPr>
              <w:jc w:val="center"/>
            </w:pPr>
            <w:r>
              <w:drawing>
                <wp:inline>
                  <wp:extent cx="4620126" cy="3696101"/>
                  <wp:effectExtent b="0" l="0" r="0" t="0"/>
                  <wp:docPr descr="" title="" id="56" name="Picture"/>
                  <a:graphic>
                    <a:graphicData uri="http://schemas.openxmlformats.org/drawingml/2006/picture">
                      <pic:pic>
                        <pic:nvPicPr>
                          <pic:cNvPr descr="multi100_results_files/figure-docx/fig-evaluator-analysis-frequency-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how regularly the peer evaluators perform data analysis.</w:t>
            </w:r>
          </w:p>
          <w:bookmarkEnd w:id="58"/>
        </w:tc>
      </w:tr>
    </w:tbl>
    <w:p>
      <w:pPr>
        <w:pStyle w:val="BodyText"/>
      </w:pPr>
      <w:hyperlink w:anchor="fig-evaluator-expertise">
        <w:r>
          <w:rPr>
            <w:rStyle w:val="Hyperlink"/>
          </w:rPr>
          <w:t xml:space="preserve">Figure 10</w:t>
        </w:r>
      </w:hyperlink>
      <w:r>
        <w:t xml:space="preserve"> </w:t>
      </w:r>
      <w:r>
        <w:t xml:space="preserve">indicates that most peer evaluators rate themselves close to expert level in data analysis.</w:t>
      </w:r>
    </w:p>
    <w:tbl>
      <w:tblPr>
        <w:tblStyle w:val="Table"/>
        <w:tblW w:type="pct" w:w="5000"/>
        <w:tblLook w:firstRow="0" w:lastRow="0" w:firstColumn="0" w:lastColumn="0" w:noHBand="0" w:noVBand="0" w:val="0000"/>
        <w:jc w:val="start"/>
      </w:tblPr>
      <w:tblGrid>
        <w:gridCol w:w="7920"/>
      </w:tblGrid>
      <w:tr>
        <w:tc>
          <w:tcPr/>
          <w:bookmarkStart w:id="62" w:name="fig-evaluator-expertise"/>
          <w:p>
            <w:pPr>
              <w:jc w:val="center"/>
            </w:pPr>
            <w:r>
              <w:drawing>
                <wp:inline>
                  <wp:extent cx="4620126" cy="3696101"/>
                  <wp:effectExtent b="0" l="0" r="0" t="0"/>
                  <wp:docPr descr="" title="" id="60" name="Picture"/>
                  <a:graphic>
                    <a:graphicData uri="http://schemas.openxmlformats.org/drawingml/2006/picture">
                      <pic:pic>
                        <pic:nvPicPr>
                          <pic:cNvPr descr="multi100_results_files/figure-docx/fig-evaluator-expertis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peer evaluators’ self-rated level of expertise in data analysis. When a peer evaluator submitted more than one re-analysis, we kept only their first response.</w:t>
            </w:r>
          </w:p>
          <w:bookmarkEnd w:id="62"/>
        </w:tc>
      </w:tr>
    </w:tbl>
    <w:bookmarkEnd w:id="63"/>
    <w:bookmarkEnd w:id="64"/>
    <w:bookmarkStart w:id="66" w:name="peer-evaluations"/>
    <w:p>
      <w:pPr>
        <w:pStyle w:val="Heading3"/>
      </w:pPr>
      <w:r>
        <w:t xml:space="preserve">Peer evaluations</w:t>
      </w:r>
    </w:p>
    <w:bookmarkStart w:id="65" w:name="descriptives-of-peer-evaluations"/>
    <w:p>
      <w:pPr>
        <w:pStyle w:val="Heading4"/>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 review of the peer evaluations (see Peer Evaluation: Review and Decisions’ supplement for all decisions and reasoning behind each case), the final result of the peer evaluation was the following.</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p>
      <w:pPr>
        <w:pStyle w:val="BodyText"/>
      </w:pPr>
      <w:r>
        <w:t xml:space="preserve">204 analytical reproducibility checks were successfully conducted which identified mismatches in 19 analyses. In all of these cases we verified that that the mismatches did not have a meaningful impact on the reported conclusion, categorization, or effect size.</w:t>
      </w:r>
    </w:p>
    <w:bookmarkEnd w:id="65"/>
    <w:bookmarkEnd w:id="66"/>
    <w:bookmarkEnd w:id="67"/>
    <w:bookmarkStart w:id="176" w:name="Xba55456f048c68535441495f6d8ada6b71c827d"/>
    <w:p>
      <w:pPr>
        <w:pStyle w:val="Heading2"/>
      </w:pPr>
      <w:r>
        <w:t xml:space="preserve">Inferential robustness: The robust of the conclusions to analytical choices published in social sciences</w:t>
      </w:r>
    </w:p>
    <w:p>
      <w:pPr>
        <w:pStyle w:val="FirstParagraph"/>
      </w:pPr>
      <w:r>
        <w:t xml:space="preserve">Do different analysts arrive at the same conclusions as the analysts of the original study?</w:t>
      </w:r>
    </w:p>
    <w:bookmarkStart w:id="175" w:name="task-1-survey-results"/>
    <w:p>
      <w:pPr>
        <w:pStyle w:val="Heading3"/>
      </w:pPr>
      <w:r>
        <w:t xml:space="preserve">Task 1 Survey results</w:t>
      </w:r>
    </w:p>
    <w:p>
      <w:pPr>
        <w:pStyle w:val="FirstParagraph"/>
      </w:pPr>
      <w:r>
        <w:t xml:space="preserve">In Task 1, the co-analysts were asked to conduct any statistical analysis to arrive at a single conclusion. Out of 8 re-analysed studies, the conclusions of 5% (5) remained robust to independent re-analysis, so all assigned co-analysts arrived at the same conclusion as reported in the article of the original study (inferential robustness; see</w:t>
      </w:r>
      <w:r>
        <w:t xml:space="preserve"> </w:t>
      </w:r>
      <w:hyperlink w:anchor="fig-conclusions-main-robustness">
        <w:r>
          <w:rPr>
            <w:rStyle w:val="Hyperlink"/>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71" w:name="fig-conclusions-main-robustness"/>
          <w:p>
            <w:pPr>
              <w:jc w:val="center"/>
            </w:pPr>
            <w:r>
              <w:drawing>
                <wp:inline>
                  <wp:extent cx="4620126" cy="3696101"/>
                  <wp:effectExtent b="0" l="0" r="0" t="0"/>
                  <wp:docPr descr="" title="" id="69" name="Picture"/>
                  <a:graphic>
                    <a:graphicData uri="http://schemas.openxmlformats.org/drawingml/2006/picture">
                      <pic:pic>
                        <pic:nvPicPr>
                          <pic:cNvPr descr="multi100_results_files/figure-docx/fig-conclusions-main-robustnes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proportion of the inferentially robust and not robust studies.</w:t>
            </w:r>
          </w:p>
          <w:bookmarkEnd w:id="71"/>
        </w:tc>
      </w:tr>
    </w:tbl>
    <w:p>
      <w:pPr>
        <w:pStyle w:val="BodyText"/>
      </w:pPr>
      <w:hyperlink w:anchor="fig-conclusions-main">
        <w:r>
          <w:rPr>
            <w:rStyle w:val="Hyperlink"/>
          </w:rPr>
          <w:t xml:space="preserve">Figure 12</w:t>
        </w:r>
      </w:hyperlink>
      <w:r>
        <w:t xml:space="preserve"> </w:t>
      </w:r>
      <w:r>
        <w:t xml:space="preserve">shows the histogram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75" w:name="fig-conclusions-main"/>
          <w:p>
            <w:pPr>
              <w:jc w:val="center"/>
            </w:pPr>
            <w:r>
              <w:drawing>
                <wp:inline>
                  <wp:extent cx="4620126" cy="3696101"/>
                  <wp:effectExtent b="0" l="0" r="0" t="0"/>
                  <wp:docPr descr="" title="" id="73" name="Picture"/>
                  <a:graphic>
                    <a:graphicData uri="http://schemas.openxmlformats.org/drawingml/2006/picture">
                      <pic:pic>
                        <pic:nvPicPr>
                          <pic:cNvPr descr="multi100_results_files/figure-docx/fig-conclusions-main-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percentage of identical, inconclusive, and different conclusions for each study. Study numbers correspond to studies listed in Table S1.</w:t>
            </w:r>
          </w:p>
          <w:bookmarkEnd w:id="75"/>
        </w:tc>
      </w:tr>
    </w:tbl>
    <w:p>
      <w:pPr>
        <w:pStyle w:val="BodyText"/>
      </w:pPr>
      <w:r>
        <w:t xml:space="preserve">Across all the re-analyses, 90.24 % (37 out of 41) of them arrived at the same conclusion; 9.76% (4 out of 41) to no effects, and % ( out of ) to opposite effect compared to the original conclusion.</w:t>
      </w:r>
    </w:p>
    <w:bookmarkStart w:id="84" w:name="inferential-robustness-by-discipline"/>
    <w:p>
      <w:pPr>
        <w:pStyle w:val="Heading4"/>
      </w:pPr>
      <w:r>
        <w:t xml:space="preserve">Inferential robustness by discipline</w:t>
      </w:r>
    </w:p>
    <w:p>
      <w:pPr>
        <w:pStyle w:val="FirstParagraph"/>
      </w:pPr>
      <w:r>
        <w:t xml:space="preserve">We were interested to see whether the above results show a different pattern when inspecting them in different disciplines.</w:t>
      </w:r>
      <w:r>
        <w:t xml:space="preserve"> </w:t>
      </w:r>
      <w:hyperlink w:anchor="fig-discipline-robustness">
        <w:r>
          <w:rPr>
            <w:rStyle w:val="Hyperlink"/>
          </w:rPr>
          <w:t xml:space="preserve">Figure 13</w:t>
        </w:r>
      </w:hyperlink>
      <w:r>
        <w:t xml:space="preserve"> </w:t>
      </w:r>
      <w:r>
        <w:t xml:space="preserve">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w:t>
      </w:r>
      <w:r>
        <w:t xml:space="preserve"> </w:t>
      </w:r>
      <w:hyperlink w:anchor="fig-conclusions-discipline">
        <w:r>
          <w:rPr>
            <w:rStyle w:val="Hyperlink"/>
          </w:rPr>
          <w:t xml:space="preserve">Figure 14</w:t>
        </w:r>
      </w:hyperlink>
      <w:r>
        <w:t xml:space="preserve">).</w:t>
      </w:r>
    </w:p>
    <w:tbl>
      <w:tblPr>
        <w:tblStyle w:val="Table"/>
        <w:tblW w:type="pct" w:w="5000"/>
        <w:tblLook w:firstRow="0" w:lastRow="0" w:firstColumn="0" w:lastColumn="0" w:noHBand="0" w:noVBand="0" w:val="0000"/>
        <w:jc w:val="start"/>
      </w:tblPr>
      <w:tblGrid>
        <w:gridCol w:w="7920"/>
      </w:tblGrid>
      <w:tr>
        <w:tc>
          <w:tcPr/>
          <w:bookmarkStart w:id="79" w:name="fig-discipline-robustness"/>
          <w:p>
            <w:pPr>
              <w:jc w:val="center"/>
            </w:pPr>
            <w:r>
              <w:drawing>
                <wp:inline>
                  <wp:extent cx="4620126" cy="3696101"/>
                  <wp:effectExtent b="0" l="0" r="0" t="0"/>
                  <wp:docPr descr="" title="" id="77" name="Picture"/>
                  <a:graphic>
                    <a:graphicData uri="http://schemas.openxmlformats.org/drawingml/2006/picture">
                      <pic:pic>
                        <pic:nvPicPr>
                          <pic:cNvPr descr="multi100_results_files/figure-docx/fig-discipline-robustness-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the inferential robustness of the studies by major disciplines (more than 10 studies in our collection).</w:t>
            </w:r>
          </w:p>
          <w:bookmarkEnd w:id="7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3" w:name="fig-conclusions-discipline"/>
          <w:p>
            <w:pPr>
              <w:jc w:val="center"/>
            </w:pPr>
            <w:r>
              <w:drawing>
                <wp:inline>
                  <wp:extent cx="4620126" cy="3696101"/>
                  <wp:effectExtent b="0" l="0" r="0" t="0"/>
                  <wp:docPr descr="" title="" id="81" name="Picture"/>
                  <a:graphic>
                    <a:graphicData uri="http://schemas.openxmlformats.org/drawingml/2006/picture">
                      <pic:pic>
                        <pic:nvPicPr>
                          <pic:cNvPr descr="multi100_results_files/figure-docx/fig-conclusions-discipline-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the percentage of identical, inconclusive, and different conclusions of the studies by major disciplines. The figure displays the count of re-analyses next to each discipline name.</w:t>
            </w:r>
          </w:p>
          <w:bookmarkEnd w:id="83"/>
        </w:tc>
      </w:tr>
    </w:tbl>
    <w:bookmarkEnd w:id="84"/>
    <w:bookmarkStart w:id="93"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15</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16</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8" w:name="fig-studytype-robustness"/>
          <w:p>
            <w:pPr>
              <w:jc w:val="center"/>
            </w:pPr>
            <w:r>
              <w:drawing>
                <wp:inline>
                  <wp:extent cx="4620126" cy="3696101"/>
                  <wp:effectExtent b="0" l="0" r="0" t="0"/>
                  <wp:docPr descr="" title="" id="86" name="Picture"/>
                  <a:graphic>
                    <a:graphicData uri="http://schemas.openxmlformats.org/drawingml/2006/picture">
                      <pic:pic>
                        <pic:nvPicPr>
                          <pic:cNvPr descr="multi100_results_files/figure-docx/fig-studytype-robustness-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 the inferential robustness of the studies by study type (experimental or observational). The figure displays the count of re-analyses next to each study type name.</w:t>
            </w:r>
          </w:p>
          <w:bookmarkEnd w:id="8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2" w:name="fig-conclusions-studytype"/>
          <w:p>
            <w:pPr>
              <w:jc w:val="center"/>
            </w:pPr>
            <w:r>
              <w:drawing>
                <wp:inline>
                  <wp:extent cx="4620126" cy="3696101"/>
                  <wp:effectExtent b="0" l="0" r="0" t="0"/>
                  <wp:docPr descr="" title="" id="90" name="Picture"/>
                  <a:graphic>
                    <a:graphicData uri="http://schemas.openxmlformats.org/drawingml/2006/picture">
                      <pic:pic>
                        <pic:nvPicPr>
                          <pic:cNvPr descr="multi100_results_files/figure-docx/fig-conclusions-studytyp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 percentage of same conclusion, no effect/inconclusive, and opposite effect of the re-analyses by study type (experimental, observational).</w:t>
            </w:r>
          </w:p>
          <w:bookmarkEnd w:id="92"/>
        </w:tc>
      </w:tr>
    </w:tbl>
    <w:bookmarkEnd w:id="93"/>
    <w:bookmarkStart w:id="98"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r>
        <w:t xml:space="preserve"> </w:t>
      </w:r>
      <w:hyperlink w:anchor="fig-conclusions-expertise">
        <w:r>
          <w:rPr>
            <w:rStyle w:val="Hyperlink"/>
          </w:rPr>
          <w:t xml:space="preserve">Figure 17</w:t>
        </w:r>
      </w:hyperlink>
      <w:r>
        <w:t xml:space="preserve"> </w:t>
      </w:r>
      <w:r>
        <w:t xml:space="preserve">shows these results.</w:t>
      </w:r>
    </w:p>
    <w:tbl>
      <w:tblPr>
        <w:tblStyle w:val="Table"/>
        <w:tblW w:type="pct" w:w="5000"/>
        <w:tblLook w:firstRow="0" w:lastRow="0" w:firstColumn="0" w:lastColumn="0" w:noHBand="0" w:noVBand="0" w:val="0000"/>
        <w:jc w:val="start"/>
      </w:tblPr>
      <w:tblGrid>
        <w:gridCol w:w="7920"/>
      </w:tblGrid>
      <w:tr>
        <w:tc>
          <w:tcPr/>
          <w:bookmarkStart w:id="97" w:name="fig-conclusions-expertise"/>
          <w:p>
            <w:pPr>
              <w:jc w:val="center"/>
            </w:pPr>
            <w:r>
              <w:drawing>
                <wp:inline>
                  <wp:extent cx="4620126" cy="3696101"/>
                  <wp:effectExtent b="0" l="0" r="0" t="0"/>
                  <wp:docPr descr="" title="" id="95" name="Picture"/>
                  <a:graphic>
                    <a:graphicData uri="http://schemas.openxmlformats.org/drawingml/2006/picture">
                      <pic:pic>
                        <pic:nvPicPr>
                          <pic:cNvPr descr="multi100_results_files/figure-docx/fig-conclusions-expertis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 the percentage of same conclusion, no effect/inconclusive, and opposite effect of the re-analyses by self-rated expertise (on a scale of 1 (Beginner) to 10 (Expert)). The figure does not display the bottom two categories where fewer than 3 responses were collected for each.</w:t>
            </w:r>
          </w:p>
          <w:bookmarkEnd w:id="97"/>
        </w:tc>
      </w:tr>
    </w:tbl>
    <w:bookmarkEnd w:id="98"/>
    <w:bookmarkStart w:id="103" w:name="X22415d35f3d87771c3f0e3ea9f8b1d035327648"/>
    <w:p>
      <w:pPr>
        <w:pStyle w:val="Heading4"/>
      </w:pPr>
      <w:r>
        <w:t xml:space="preserve">Inferential robustness by peer evaluations</w:t>
      </w:r>
    </w:p>
    <w:p>
      <w:pPr>
        <w:pStyle w:val="FirstParagraph"/>
      </w:pPr>
      <w:hyperlink w:anchor="fig-subset-task1-pipeline">
        <w:r>
          <w:rPr>
            <w:rStyle w:val="Hyperlink"/>
          </w:rPr>
          <w:t xml:space="preserve">Figure 18</w:t>
        </w:r>
      </w:hyperlink>
      <w:r>
        <w:t xml:space="preserve"> </w:t>
      </w:r>
      <w:r>
        <w:t xml:space="preserve">shows the inferential robustness of the studies by the acceptability of the analysis pipelines according to the peer evaluators.</w:t>
      </w:r>
    </w:p>
    <w:tbl>
      <w:tblPr>
        <w:tblStyle w:val="Table"/>
        <w:tblW w:type="pct" w:w="5000"/>
        <w:tblLook w:firstRow="0" w:lastRow="0" w:firstColumn="0" w:lastColumn="0" w:noHBand="0" w:noVBand="0" w:val="0000"/>
        <w:jc w:val="start"/>
      </w:tblPr>
      <w:tblGrid>
        <w:gridCol w:w="7920"/>
      </w:tblGrid>
      <w:tr>
        <w:tc>
          <w:tcPr/>
          <w:bookmarkStart w:id="102" w:name="fig-subset-task1-pipeline"/>
          <w:p>
            <w:pPr>
              <w:jc w:val="center"/>
            </w:pPr>
            <w:r>
              <w:drawing>
                <wp:inline>
                  <wp:extent cx="4620126" cy="3696101"/>
                  <wp:effectExtent b="0" l="0" r="0" t="0"/>
                  <wp:docPr descr="" title="" id="100" name="Picture"/>
                  <a:graphic>
                    <a:graphicData uri="http://schemas.openxmlformats.org/drawingml/2006/picture">
                      <pic:pic>
                        <pic:nvPicPr>
                          <pic:cNvPr descr="multi100_results_files/figure-docx/fig-subset-task1-pipeline-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 the inferential robustness of the studies by the acceptability of the analysis pipelines according to the peer evaluators. For this figure we only included studies with more than one peer evaluation and where the peer evaluators agreed on their rating. The figure shows only the studies with a medium and high quality of analysis pipelines.</w:t>
            </w:r>
          </w:p>
          <w:bookmarkEnd w:id="102"/>
        </w:tc>
      </w:tr>
    </w:tbl>
    <w:bookmarkEnd w:id="103"/>
    <w:bookmarkStart w:id="108"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conclusions-familiarity">
        <w:r>
          <w:rPr>
            <w:rStyle w:val="Hyperlink"/>
          </w:rPr>
          <w:t xml:space="preserve">Figure 19</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07" w:name="fig-conclusions-familiarity"/>
          <w:p>
            <w:pPr>
              <w:jc w:val="center"/>
            </w:pPr>
            <w:r>
              <w:drawing>
                <wp:inline>
                  <wp:extent cx="4620126" cy="3696101"/>
                  <wp:effectExtent b="0" l="0" r="0" t="0"/>
                  <wp:docPr descr="" title="" id="105" name="Picture"/>
                  <a:graphic>
                    <a:graphicData uri="http://schemas.openxmlformats.org/drawingml/2006/picture">
                      <pic:pic>
                        <pic:nvPicPr>
                          <pic:cNvPr descr="multi100_results_files/figure-docx/fig-conclusions-familiarity-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 the percentage of same conclusion, no effect/inconclusive, and opposite effect of the re-analyses by declared familiarity with the study.</w:t>
            </w:r>
          </w:p>
          <w:bookmarkEnd w:id="107"/>
        </w:tc>
      </w:tr>
    </w:tbl>
    <w:bookmarkEnd w:id="108"/>
    <w:bookmarkStart w:id="109" w:name="X93680680e4ecd5d4cd72b7e4111ceeb97182374"/>
    <w:p>
      <w:pPr>
        <w:pStyle w:val="Heading4"/>
      </w:pPr>
      <w:r>
        <w:t xml:space="preserve">Inferential robustness by the level of confidence with the suitability of the analysis</w:t>
      </w:r>
    </w:p>
    <w:p>
      <w:pPr>
        <w:pStyle w:val="FirstParagraph"/>
      </w:pPr>
      <w:r>
        <w:t xml:space="preserve">The following Table 3 shows the percentage of same conclusion, no effect/inconclusive, and opposite effect of the re-analyses by the analyst’s level of confidence with the suitability of the analysis.</w:t>
      </w:r>
    </w:p>
    <w:p>
      <w:pPr>
        <w:pStyle w:val="BodyText"/>
      </w:pPr>
      <w:r>
        <w:rPr>
          <w:bCs/>
          <w:b/>
        </w:rPr>
        <w:t xml:space="preserve">Table 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bl>
    <w:bookmarkEnd w:id="109"/>
    <w:bookmarkStart w:id="114" w:name="X5eaa0d3b1212ddb24b4e72526e5ab9bab3496ec"/>
    <w:p>
      <w:pPr>
        <w:pStyle w:val="Heading4"/>
      </w:pPr>
      <w:r>
        <w:t xml:space="preserve">Inferential robustness by the sample size</w:t>
      </w:r>
    </w:p>
    <w:p>
      <w:pPr>
        <w:pStyle w:val="FirstParagraph"/>
      </w:pPr>
      <w:r>
        <w:t xml:space="preserve">Here, in</w:t>
      </w:r>
      <w:r>
        <w:t xml:space="preserve"> </w:t>
      </w:r>
      <w:hyperlink w:anchor="fig-conclusions-samplesize">
        <w:r>
          <w:rPr>
            <w:rStyle w:val="Hyperlink"/>
          </w:rPr>
          <w:t xml:space="preserve">Figure 20</w:t>
        </w:r>
      </w:hyperlink>
      <w:r>
        <w:t xml:space="preserve"> </w:t>
      </w:r>
      <w:r>
        <w:t xml:space="preserve">we were interested to see whether these results show a different pattern when considering sample size.</w:t>
      </w:r>
    </w:p>
    <w:p>
      <w:pPr>
        <w:pStyle w:val="SourceCode"/>
      </w:pPr>
      <w:r>
        <w:rPr>
          <w:rStyle w:val="VerbatimChar"/>
        </w:rPr>
        <w:t xml:space="preserve">Warning: There was 1 warning in `dplyr::mutate()`.</w:t>
      </w:r>
      <w:r>
        <w:br/>
      </w:r>
      <w:r>
        <w:rPr>
          <w:rStyle w:val="VerbatimChar"/>
        </w:rPr>
        <w:t xml:space="preserve">ℹ In argument: `categorisation = forcats::fct_relevel(...)`.</w:t>
      </w:r>
      <w:r>
        <w:br/>
      </w:r>
      <w:r>
        <w:rPr>
          <w:rStyle w:val="VerbatimChar"/>
        </w:rPr>
        <w:t xml:space="preserve">Caused by warning:</w:t>
      </w:r>
      <w:r>
        <w:br/>
      </w:r>
      <w:r>
        <w:rPr>
          <w:rStyle w:val="VerbatimChar"/>
        </w:rPr>
        <w:t xml:space="preserve">! 1 unknown level in `f`: Opposite effect</w:t>
      </w:r>
    </w:p>
    <w:p>
      <w:pPr>
        <w:pStyle w:val="SourceCode"/>
      </w:pPr>
      <w:r>
        <w:rPr>
          <w:rStyle w:val="VerbatimChar"/>
        </w:rPr>
        <w:t xml:space="preserve">[1] 34</w:t>
      </w:r>
    </w:p>
    <w:p>
      <w:pPr>
        <w:pStyle w:val="SourceCode"/>
      </w:pPr>
      <w:r>
        <w:rPr>
          <w:rStyle w:val="VerbatimChar"/>
        </w:rPr>
        <w:t xml:space="preserve">[1] 28</w:t>
      </w:r>
    </w:p>
    <w:p>
      <w:pPr>
        <w:pStyle w:val="SourceCode"/>
      </w:pPr>
      <w:r>
        <w:rPr>
          <w:rStyle w:val="VerbatimChar"/>
        </w:rPr>
        <w:t xml:space="preserve">Warning: There was 1 warning in `dplyr::mutate()`.</w:t>
      </w:r>
      <w:r>
        <w:br/>
      </w:r>
      <w:r>
        <w:rPr>
          <w:rStyle w:val="VerbatimChar"/>
        </w:rPr>
        <w:t xml:space="preserve">ℹ In argument: `categorisation = forcats::fct_relevel(...)`.</w:t>
      </w:r>
      <w:r>
        <w:br/>
      </w:r>
      <w:r>
        <w:rPr>
          <w:rStyle w:val="VerbatimChar"/>
        </w:rPr>
        <w:t xml:space="preserve">Caused by warning:</w:t>
      </w:r>
      <w:r>
        <w:br/>
      </w:r>
      <w:r>
        <w:rPr>
          <w:rStyle w:val="VerbatimChar"/>
        </w:rPr>
        <w:t xml:space="preserve">! 1 unknown level in `f`: Opposite effect</w:t>
      </w:r>
    </w:p>
    <w:tbl>
      <w:tblPr>
        <w:tblStyle w:val="Table"/>
        <w:tblW w:type="pct" w:w="5000"/>
        <w:tblLook w:firstRow="0" w:lastRow="0" w:firstColumn="0" w:lastColumn="0" w:noHBand="0" w:noVBand="0" w:val="0000"/>
        <w:jc w:val="start"/>
      </w:tblPr>
      <w:tblGrid>
        <w:gridCol w:w="7920"/>
      </w:tblGrid>
      <w:tr>
        <w:tc>
          <w:tcPr/>
          <w:bookmarkStart w:id="113" w:name="fig-conclusions-samplesize"/>
          <w:p>
            <w:pPr>
              <w:jc w:val="center"/>
            </w:pPr>
            <w:r>
              <w:drawing>
                <wp:inline>
                  <wp:extent cx="4620126" cy="3696101"/>
                  <wp:effectExtent b="0" l="0" r="0" t="0"/>
                  <wp:docPr descr="" title="" id="111" name="Picture"/>
                  <a:graphic>
                    <a:graphicData uri="http://schemas.openxmlformats.org/drawingml/2006/picture">
                      <pic:pic>
                        <pic:nvPicPr>
                          <pic:cNvPr descr="multi100_results_files/figure-docx/fig-conclusions-samplesize-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This raincloud figure shows the distribution of the sample sizes of the re-analyses resulting in same conclusion, no effect/inconclusive, and opposite effects.</w:t>
            </w:r>
          </w:p>
          <w:bookmarkEnd w:id="113"/>
        </w:tc>
      </w:tr>
    </w:tbl>
    <w:bookmarkEnd w:id="114"/>
    <w:bookmarkStart w:id="169" w:name="X94841b6cd8f3c64f6b1d2e7b88b5d185115f5b2"/>
    <w:p>
      <w:pPr>
        <w:pStyle w:val="Heading4"/>
      </w:pPr>
      <w:r>
        <w:t xml:space="preserve">Estimate robustness: robust of the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r>
        <w:t xml:space="preserve"> </w:t>
      </w:r>
      <w:hyperlink w:anchor="fig-effect-main">
        <w:r>
          <w:rPr>
            <w:rStyle w:val="Hyperlink"/>
          </w:rPr>
          <w:t xml:space="preserve">Figure 21</w:t>
        </w:r>
      </w:hyperlink>
      <w:r>
        <w:t xml:space="preserve"> </w:t>
      </w:r>
      <w:r>
        <w:t xml:space="preserve">shows percentages of the effect sizes falling within the preset tolerance range (+/- 0.05 Cohen’s d) for each study. The figure displays 35 re-analysis effect size estimates. For 6 re-analyses, the reported effect size was not convertible to Cohen’s d. The figure does not show 0 re-analysed effect sizes which are higher than 5 or lower than -5 Cohen’s d (). For the studies listed in the bottom of the graph, we could not determine the original effect size due to missing information.</w:t>
      </w:r>
    </w:p>
    <w:tbl>
      <w:tblPr>
        <w:tblStyle w:val="Table"/>
        <w:tblW w:type="pct" w:w="5000"/>
        <w:tblLook w:firstRow="0" w:lastRow="0" w:firstColumn="0" w:lastColumn="0" w:noHBand="0" w:noVBand="0" w:val="0000"/>
        <w:jc w:val="start"/>
      </w:tblPr>
      <w:tblGrid>
        <w:gridCol w:w="7920"/>
      </w:tblGrid>
      <w:tr>
        <w:tc>
          <w:tcPr/>
          <w:bookmarkStart w:id="118" w:name="fig-effect-main"/>
          <w:p>
            <w:pPr>
              <w:jc w:val="center"/>
            </w:pPr>
            <w:r>
              <w:drawing>
                <wp:inline>
                  <wp:extent cx="4620126" cy="3696101"/>
                  <wp:effectExtent b="0" l="0" r="0" t="0"/>
                  <wp:docPr descr="" title="" id="116" name="Picture"/>
                  <a:graphic>
                    <a:graphicData uri="http://schemas.openxmlformats.org/drawingml/2006/picture">
                      <pic:pic>
                        <pic:nvPicPr>
                          <pic:cNvPr descr="multi100_results_files/figure-docx/fig-effect-main-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 the effect size of the original result (black square) and the effect sizes of the re-analyses (green dot) for each study after conversions to Cohen’s d. Study numbers correspond to studies listed in Table S1.</w:t>
            </w:r>
          </w:p>
          <w:bookmarkEnd w:id="118"/>
        </w:tc>
      </w:tr>
    </w:tbl>
    <w:p>
      <w:pPr>
        <w:pStyle w:val="SourceCode"/>
      </w:pPr>
      <w:r>
        <w:rPr>
          <w:rStyle w:val="CommentTok"/>
        </w:rPr>
        <w:t xml:space="preserve"># Based on: https://github.com/CenterForOpenScience/rpp</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"#440154FF"</w:t>
      </w:r>
      <w:r>
        <w:rPr>
          <w:rStyle w:val="NormalTok"/>
        </w:rPr>
        <w:t xml:space="preserve">, </w:t>
      </w:r>
      <w:r>
        <w:rPr>
          <w:rStyle w:val="StringTok"/>
        </w:rPr>
        <w:t xml:space="preserve">"Replication"</w:t>
      </w:r>
      <w:r>
        <w:rPr>
          <w:rStyle w:val="NormalTok"/>
        </w:rPr>
        <w:t xml:space="preserve"> </w:t>
      </w:r>
      <w:r>
        <w:rPr>
          <w:rStyle w:val="OtherTok"/>
        </w:rPr>
        <w:t xml:space="preserve">=</w:t>
      </w:r>
      <w:r>
        <w:rPr>
          <w:rStyle w:val="NormalTok"/>
        </w:rPr>
        <w:t xml:space="preserve"> </w:t>
      </w:r>
      <w:r>
        <w:rPr>
          <w:rStyle w:val="StringTok"/>
        </w:rPr>
        <w:t xml:space="preserve">"#FDE725FF"</w:t>
      </w:r>
      <w:r>
        <w:rPr>
          <w:rStyle w:val="NormalTok"/>
        </w:rPr>
        <w:t xml:space="preserve">)</w:t>
      </w:r>
      <w:r>
        <w:br/>
      </w:r>
      <w:r>
        <w:br/>
      </w:r>
      <w:r>
        <w:rPr>
          <w:rStyle w:val="NormalTok"/>
        </w:rPr>
        <w:t xml:space="preserve">y_dense </w:t>
      </w:r>
      <w:r>
        <w:rPr>
          <w:rStyle w:val="OtherTok"/>
        </w:rPr>
        <w:t xml:space="preserve">&lt;-</w:t>
      </w:r>
      <w:r>
        <w:br/>
      </w:r>
      <w:r>
        <w:rPr>
          <w:rStyle w:val="NormalTok"/>
        </w:rPr>
        <w:t xml:space="preserve">  reanalysis_data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effect_size))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fill =</w:t>
      </w:r>
      <w:r>
        <w:rPr>
          <w:rStyle w:val="NormalTok"/>
        </w:rPr>
        <w:t xml:space="preserve"> </w:t>
      </w:r>
      <w:r>
        <w:rPr>
          <w:rStyle w:val="StringTok"/>
        </w:rPr>
        <w:t xml:space="preserve">"Replication"</w:t>
      </w:r>
      <w:r>
        <w:rPr>
          <w:rStyle w:val="NormalTok"/>
        </w:rPr>
        <w:t xml:space="preserve">), </w:t>
      </w:r>
      <w:r>
        <w:rPr>
          <w:rStyle w:val="AttributeTok"/>
        </w:rPr>
        <w:t xml:space="preserve">trim =</w:t>
      </w:r>
      <w:r>
        <w:rPr>
          <w:rStyle w:val="NormalTok"/>
        </w:rPr>
        <w:t xml:space="preserve"> F,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x_dense </w:t>
      </w:r>
      <w:r>
        <w:rPr>
          <w:rStyle w:val="OtherTok"/>
        </w:rPr>
        <w:t xml:space="preserve">&lt;-</w:t>
      </w:r>
      <w:r>
        <w:rPr>
          <w:rStyle w:val="NormalTok"/>
        </w:rPr>
        <w:t xml:space="preserve"> </w:t>
      </w:r>
      <w:r>
        <w:br/>
      </w:r>
      <w:r>
        <w:rPr>
          <w:rStyle w:val="NormalTok"/>
        </w:rPr>
        <w:t xml:space="preserve">  original_data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original_cohens_d))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fill =</w:t>
      </w:r>
      <w:r>
        <w:rPr>
          <w:rStyle w:val="NormalTok"/>
        </w:rPr>
        <w:t xml:space="preserve"> </w:t>
      </w:r>
      <w:r>
        <w:rPr>
          <w:rStyle w:val="StringTok"/>
        </w:rPr>
        <w:t xml:space="preserve">"Original"</w:t>
      </w:r>
      <w:r>
        <w:rPr>
          <w:rStyle w:val="NormalTok"/>
        </w:rPr>
        <w:t xml:space="preserve">), </w:t>
      </w:r>
      <w:r>
        <w:rPr>
          <w:rStyle w:val="AttributeTok"/>
        </w:rPr>
        <w:t xml:space="preserve">trim =</w:t>
      </w:r>
      <w:r>
        <w:rPr>
          <w:rStyle w:val="NormalTok"/>
        </w:rPr>
        <w:t xml:space="preserve"> F,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 </w:t>
      </w:r>
      <w:r>
        <w:br/>
      </w:r>
      <w:r>
        <w:br/>
      </w:r>
      <w:r>
        <w:rPr>
          <w:rStyle w:val="NormalTok"/>
        </w:rPr>
        <w:t xml:space="preserve">scatter </w:t>
      </w:r>
      <w:r>
        <w:rPr>
          <w:rStyle w:val="OtherTok"/>
        </w:rPr>
        <w:t xml:space="preserve">&lt;-</w:t>
      </w:r>
      <w:r>
        <w:br/>
      </w:r>
      <w:r>
        <w:rPr>
          <w:rStyle w:val="NormalTok"/>
        </w:rPr>
        <w:t xml:space="preserve">  reanalysis_data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original_cohens_d, </w:t>
      </w:r>
      <w:r>
        <w:rPr>
          <w:rStyle w:val="AttributeTok"/>
        </w:rPr>
        <w:t xml:space="preserve">y =</w:t>
      </w:r>
      <w:r>
        <w:rPr>
          <w:rStyle w:val="NormalTok"/>
        </w:rPr>
        <w:t xml:space="preserve"> effect_size))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"Original"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"Replication"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8</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FloatTok"/>
        </w:rPr>
        <w:t xml:space="preserve">4.5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FloatTok"/>
        </w:rPr>
        <w:t xml:space="preserve">3.5</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FloatTok"/>
        </w:rPr>
        <w:t xml:space="preserve">2.5</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FloatTok"/>
        </w:rPr>
        <w:t xml:space="preserve">4.5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"Original effect size in Cohen's 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"Reanalysis effect size in Cohen's d"</w:t>
      </w:r>
      <w:r>
        <w:rPr>
          <w:rStyle w:val="NormalTok"/>
        </w:rPr>
        <w:t xml:space="preserve">,</w:t>
      </w:r>
      <w:r>
        <w:br/>
      </w:r>
      <w:r>
        <w:rPr>
          <w:rStyle w:val="NormalTok"/>
        </w:rPr>
        <w:t xml:space="preserve">    </w:t>
      </w:r>
      <w:r>
        <w:rPr>
          <w:rStyle w:val="CommentTok"/>
        </w:rPr>
        <w:t xml:space="preserve"># color =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legend.position = c(.9, .6),</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axis.title = element_text(size = 9),</w:t>
      </w:r>
      <w:r>
        <w:br/>
      </w:r>
      <w:r>
        <w:rPr>
          <w:rStyle w:val="NormalTok"/>
        </w:rPr>
        <w:t xml:space="preserve">    </w:t>
      </w:r>
      <w:r>
        <w:rPr>
          <w:rStyle w:val="CommentTok"/>
        </w:rPr>
        <w:t xml:space="preserve"># legend.background = element_blank(),</w:t>
      </w:r>
      <w:r>
        <w:br/>
      </w:r>
      <w:r>
        <w:rPr>
          <w:rStyle w:val="NormalTok"/>
        </w:rPr>
        <w:t xml:space="preserve">    </w:t>
      </w:r>
      <w:r>
        <w:rPr>
          <w:rStyle w:val="CommentTok"/>
        </w:rPr>
        <w:t xml:space="preserve"># legend.box.background = element_blank(),</w:t>
      </w:r>
      <w:r>
        <w:br/>
      </w:r>
      <w:r>
        <w:rPr>
          <w:rStyle w:val="NormalTok"/>
        </w:rPr>
        <w:t xml:space="preserve">    </w:t>
      </w:r>
      <w:r>
        <w:rPr>
          <w:rStyle w:val="CommentTok"/>
        </w:rPr>
        <w:t xml:space="preserve"># legend.key = element_blank()</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br/>
      </w:r>
      <w:r>
        <w:br/>
      </w:r>
      <w:r>
        <w:rPr>
          <w:rStyle w:val="DocumentationTok"/>
        </w:rPr>
        <w:t xml:space="preserve">## Uncomment to save subplot</w:t>
      </w:r>
      <w:r>
        <w:br/>
      </w:r>
      <w:r>
        <w:rPr>
          <w:rStyle w:val="CommentTok"/>
        </w:rPr>
        <w:t xml:space="preserve"># ggsave("RPP_F3_scatter.png",plot=scatterP)</w:t>
      </w:r>
      <w:r>
        <w:br/>
      </w:r>
      <w:r>
        <w:br/>
      </w:r>
      <w:r>
        <w:rPr>
          <w:rStyle w:val="NormalTok"/>
        </w:rPr>
        <w:t xml:space="preserve">blank_plot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r>
        <w:br/>
      </w:r>
      <w:r>
        <w:br/>
      </w:r>
      <w:r>
        <w:rPr>
          <w:rStyle w:val="NormalTok"/>
        </w:rPr>
        <w:t xml:space="preserve">effec_size_corr_plot </w:t>
      </w:r>
      <w:r>
        <w:rPr>
          <w:rStyle w:val="OtherTok"/>
        </w:rPr>
        <w:t xml:space="preserve">&lt;-</w:t>
      </w:r>
      <w:r>
        <w:rPr>
          <w:rStyle w:val="NormalTok"/>
        </w:rPr>
        <w:t xml:space="preserve"> gridExtra</w:t>
      </w:r>
      <w:r>
        <w:rPr>
          <w:rStyle w:val="SpecialCharTok"/>
        </w:rPr>
        <w:t xml:space="preserve">::</w:t>
      </w:r>
      <w:r>
        <w:rPr>
          <w:rStyle w:val="FunctionTok"/>
        </w:rPr>
        <w:t xml:space="preserve">grid.arrange</w:t>
      </w:r>
      <w:r>
        <w:rPr>
          <w:rStyle w:val="NormalTok"/>
        </w:rPr>
        <w:t xml:space="preserve">(x_dense, blank_plot, scatter, y_dense,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br/>
      </w:r>
      <w:r>
        <w:rPr>
          <w:rStyle w:val="NormalTok"/>
        </w:rPr>
        <w:t xml:space="preserve">                                                ,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FloatTok"/>
        </w:rPr>
        <w:t xml:space="preserve">1.4</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1.4</w:t>
      </w:r>
      <w:r>
        <w:rPr>
          <w:rStyle w:val="NormalTok"/>
        </w:rPr>
        <w:t xml:space="preserve">, </w:t>
      </w:r>
      <w:r>
        <w:rPr>
          <w:rStyle w:val="DecValTok"/>
        </w:rPr>
        <w:t xml:space="preserve">4</w:t>
      </w:r>
      <w:r>
        <w:rPr>
          <w:rStyle w:val="NormalTok"/>
        </w:rPr>
        <w:t xml:space="preserve">)</w:t>
      </w:r>
      <w:r>
        <w:br/>
      </w:r>
      <w:r>
        <w:rPr>
          <w:rStyle w:val="NormalTok"/>
        </w:rPr>
        <w:t xml:space="preserve">                                                )</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20" name="Picture"/>
            <a:graphic>
              <a:graphicData uri="http://schemas.openxmlformats.org/drawingml/2006/picture">
                <pic:pic>
                  <pic:nvPicPr>
                    <pic:cNvPr descr="multi100_results_files/figure-docx/unnamed-chunk-67-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combined plots as PDF</w:t>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"figures_barna/effec_size_corr_plot.jpg"</w:t>
      </w:r>
      <w:r>
        <w:rPr>
          <w:rStyle w:val="NormalTok"/>
        </w:rPr>
        <w:t xml:space="preserve">), </w:t>
      </w:r>
      <w:r>
        <w:rPr>
          <w:rStyle w:val="AttributeTok"/>
        </w:rPr>
        <w:t xml:space="preserve">plot =</w:t>
      </w:r>
      <w:r>
        <w:rPr>
          <w:rStyle w:val="NormalTok"/>
        </w:rPr>
        <w:t xml:space="preserve"> effec_size_corr_plot,</w:t>
      </w:r>
      <w:r>
        <w:br/>
      </w:r>
      <w:r>
        <w:rPr>
          <w:rStyle w:val="NormalTok"/>
        </w:rPr>
        <w:t xml:space="preserve">                </w:t>
      </w:r>
      <w:r>
        <w:rPr>
          <w:rStyle w:val="AttributeTok"/>
        </w:rPr>
        <w:t xml:space="preserve">width =</w:t>
      </w:r>
      <w:r>
        <w:rPr>
          <w:rStyle w:val="NormalTok"/>
        </w:rPr>
        <w:t xml:space="preserve"> </w:t>
      </w:r>
      <w:r>
        <w:rPr>
          <w:rStyle w:val="DecValTok"/>
        </w:rPr>
        <w:t xml:space="preserve">13</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NormalTok"/>
        </w:rPr>
        <w:t xml:space="preserve">effec_size_corr_plot</w:t>
      </w:r>
    </w:p>
    <w:p>
      <w:pPr>
        <w:pStyle w:val="SourceCode"/>
      </w:pPr>
      <w:r>
        <w:rPr>
          <w:rStyle w:val="VerbatimChar"/>
        </w:rPr>
        <w:t xml:space="preserve">TableGrob (2 x 2) "arrange": 4 grobs</w:t>
      </w:r>
      <w:r>
        <w:br/>
      </w:r>
      <w:r>
        <w:rPr>
          <w:rStyle w:val="VerbatimChar"/>
        </w:rPr>
        <w:t xml:space="preserve">  z     cells    name           grob</w:t>
      </w:r>
      <w:r>
        <w:br/>
      </w:r>
      <w:r>
        <w:rPr>
          <w:rStyle w:val="VerbatimChar"/>
        </w:rPr>
        <w:t xml:space="preserve">1 1 (1-1,1-1) arrange gtable[layout]</w:t>
      </w:r>
      <w:r>
        <w:br/>
      </w:r>
      <w:r>
        <w:rPr>
          <w:rStyle w:val="VerbatimChar"/>
        </w:rPr>
        <w:t xml:space="preserve">2 2 (1-1,2-2) arrange gtable[layout]</w:t>
      </w:r>
      <w:r>
        <w:br/>
      </w:r>
      <w:r>
        <w:rPr>
          <w:rStyle w:val="VerbatimChar"/>
        </w:rPr>
        <w:t xml:space="preserve">3 3 (2-2,1-1) arrange gtable[layout]</w:t>
      </w:r>
      <w:r>
        <w:br/>
      </w:r>
      <w:r>
        <w:rPr>
          <w:rStyle w:val="VerbatimChar"/>
        </w:rPr>
        <w:t xml:space="preserve">4 4 (2-2,2-2) arrange gtable[layout]</w:t>
      </w:r>
    </w:p>
    <w:p>
      <w:pPr>
        <w:pStyle w:val="FirstParagraph"/>
      </w:pPr>
      <w:r>
        <w:t xml:space="preserve">We found that 88% (7 out of 8) of the studies contained at least one re-analysis result where the effect size was beyond the tolerance region (+/- 0.05 Cohen’s d) of the result of the original study (</w:t>
      </w:r>
      <w:hyperlink w:anchor="fig-effect-region-all">
        <w:r>
          <w:rPr>
            <w:rStyle w:val="Hyperlink"/>
          </w:rPr>
          <w:t xml:space="preserve">Figure 22</w:t>
        </w:r>
      </w:hyperlink>
      <w:r>
        <w:t xml:space="preserve">). Out of the 35 available reanalysis effect sizes 62.86% (22) were outside of the tolerance region.</w:t>
      </w:r>
    </w:p>
    <w:tbl>
      <w:tblPr>
        <w:tblStyle w:val="Table"/>
        <w:tblW w:type="pct" w:w="5000"/>
        <w:tblLook w:firstRow="0" w:lastRow="0" w:firstColumn="0" w:lastColumn="0" w:noHBand="0" w:noVBand="0" w:val="0000"/>
        <w:jc w:val="start"/>
      </w:tblPr>
      <w:tblGrid>
        <w:gridCol w:w="7920"/>
      </w:tblGrid>
      <w:tr>
        <w:tc>
          <w:tcPr/>
          <w:bookmarkStart w:id="125" w:name="fig-effect-region-all"/>
          <w:p>
            <w:pPr>
              <w:jc w:val="center"/>
            </w:pPr>
            <w:r>
              <w:drawing>
                <wp:inline>
                  <wp:extent cx="4620126" cy="3696101"/>
                  <wp:effectExtent b="0" l="0" r="0" t="0"/>
                  <wp:docPr descr="" title="" id="123" name="Picture"/>
                  <a:graphic>
                    <a:graphicData uri="http://schemas.openxmlformats.org/drawingml/2006/picture">
                      <pic:pic>
                        <pic:nvPicPr>
                          <pic:cNvPr descr="multi100_results_files/figure-docx/fig-effect-region-all-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 percentages of the effect sizes falling within the preset tolerance range (+/- 0.05 Cohen’s d) for each study. Study numbers correspond to studies listed in Table S1.</w:t>
            </w:r>
          </w:p>
          <w:bookmarkEnd w:id="125"/>
        </w:tc>
      </w:tr>
    </w:tbl>
    <w:p>
      <w:pPr>
        <w:pStyle w:val="BodyText"/>
      </w:pPr>
      <w:r>
        <w:t xml:space="preserve">To investigate the robustness of our tolerance region threshold we calculated the proportion of reanalysis effect size estimates within the tolerance region for a range of thresholds between 0.05 and 0.1.</w:t>
      </w:r>
    </w:p>
    <w:p>
      <w:pPr>
        <w:pStyle w:val="SourceCode"/>
      </w:pPr>
      <w:r>
        <w:rPr>
          <w:rStyle w:val="NormalTok"/>
        </w:rPr>
        <w:t xml:space="preserve">thresholds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br/>
      </w:r>
      <w:r>
        <w:rPr>
          <w:rStyle w:val="NormalTok"/>
        </w:rPr>
        <w:t xml:space="preserve">threshold_robustness_plot_data </w:t>
      </w:r>
      <w:r>
        <w:rPr>
          <w:rStyle w:val="OtherTok"/>
        </w:rPr>
        <w:t xml:space="preserve">&lt;-</w:t>
      </w:r>
      <w:r>
        <w:rPr>
          <w:rStyle w:val="NormalTok"/>
        </w:rPr>
        <w:t xml:space="preserve"> </w:t>
      </w:r>
      <w:r>
        <w:rPr>
          <w:rStyle w:val="FunctionTok"/>
        </w:rPr>
        <w:t xml:space="preserve">map_df</w:t>
      </w:r>
      <w:r>
        <w:rPr>
          <w:rStyle w:val="NormalTok"/>
        </w:rPr>
        <w:t xml:space="preserve">(thresholds, </w:t>
      </w:r>
      <w:r>
        <w:rPr>
          <w:rStyle w:val="SpecialCharTok"/>
        </w:rPr>
        <w:t xml:space="preserve">~</w:t>
      </w:r>
      <w:r>
        <w:rPr>
          <w:rStyle w:val="NormalTok"/>
        </w:rPr>
        <w:t xml:space="preserve"> </w:t>
      </w:r>
      <w:r>
        <w:rPr>
          <w:rStyle w:val="FunctionTok"/>
        </w:rPr>
        <w:t xml:space="preserve">calculate_tolerance_region_proportions</w:t>
      </w:r>
      <w:r>
        <w:rPr>
          <w:rStyle w:val="NormalTok"/>
        </w:rPr>
        <w:t xml:space="preserve">(processed, </w:t>
      </w:r>
      <w:r>
        <w:rPr>
          <w:rStyle w:val="AttributeTok"/>
        </w:rPr>
        <w:t xml:space="preserve">threshold =</w:t>
      </w:r>
      <w:r>
        <w:rPr>
          <w:rStyle w:val="NormalTok"/>
        </w:rPr>
        <w:t xml:space="preserve"> .x, </w:t>
      </w:r>
      <w:r>
        <w:rPr>
          <w:rStyle w:val="AttributeTok"/>
        </w:rPr>
        <w:t xml:space="preserve">weight =</w:t>
      </w:r>
      <w:r>
        <w:rPr>
          <w:rStyle w:val="NormalTok"/>
        </w:rPr>
        <w:t xml:space="preserve"> </w:t>
      </w:r>
      <w:r>
        <w:rPr>
          <w:rStyle w:val="ConstantTok"/>
        </w:rPr>
        <w:t xml:space="preserve">NULL</w:t>
      </w:r>
      <w:r>
        <w:rPr>
          <w:rStyle w:val="NormalTok"/>
        </w:rPr>
        <w:t xml:space="preserve">))</w:t>
      </w:r>
      <w:r>
        <w:br/>
      </w:r>
      <w:r>
        <w:br/>
      </w:r>
      <w:r>
        <w:rPr>
          <w:rStyle w:val="NormalTok"/>
        </w:rPr>
        <w:t xml:space="preserve">threshold_robustness_plot_data </w:t>
      </w:r>
      <w:r>
        <w:rPr>
          <w:rStyle w:val="OtherTok"/>
        </w:rPr>
        <w:t xml:space="preserve">&lt;-</w:t>
      </w:r>
      <w:r>
        <w:br/>
      </w:r>
      <w:r>
        <w:rPr>
          <w:rStyle w:val="NormalTok"/>
        </w:rPr>
        <w:t xml:space="preserve">  threshold_robustness_plot_data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tolerance_region =</w:t>
      </w:r>
      <w:r>
        <w:rPr>
          <w:rStyle w:val="NormalTok"/>
        </w:rPr>
        <w:t xml:space="preserve"> threshold </w:t>
      </w:r>
      <w:r>
        <w:rPr>
          <w:rStyle w:val="SpecialCharTok"/>
        </w:rPr>
        <w:t xml:space="preserve">*</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(analysis_percentage, paper_percentage),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"_percentage"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rPr>
          <w:rStyle w:val="StringTok"/>
        </w:rPr>
        <w:t xml:space="preserve">"_percentage"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"analysis"</w:t>
      </w:r>
      <w:r>
        <w:rPr>
          <w:rStyle w:val="NormalTok"/>
        </w:rPr>
        <w:t xml:space="preserve"> </w:t>
      </w:r>
      <w:r>
        <w:rPr>
          <w:rStyle w:val="SpecialCharTok"/>
        </w:rPr>
        <w:t xml:space="preserve">~</w:t>
      </w:r>
      <w:r>
        <w:rPr>
          <w:rStyle w:val="NormalTok"/>
        </w:rPr>
        <w:t xml:space="preserve"> </w:t>
      </w:r>
      <w:r>
        <w:rPr>
          <w:rStyle w:val="StringTok"/>
        </w:rPr>
        <w:t xml:space="preserve">"Re-analysis effect sizes"</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"paper"</w:t>
      </w:r>
      <w:r>
        <w:rPr>
          <w:rStyle w:val="NormalTok"/>
        </w:rPr>
        <w:t xml:space="preserve"> </w:t>
      </w:r>
      <w:r>
        <w:rPr>
          <w:rStyle w:val="SpecialCharTok"/>
        </w:rPr>
        <w:t xml:space="preserve">~</w:t>
      </w:r>
      <w:r>
        <w:rPr>
          <w:rStyle w:val="NormalTok"/>
        </w:rPr>
        <w:t xml:space="preserve"> </w:t>
      </w:r>
      <w:r>
        <w:rPr>
          <w:rStyle w:val="StringTok"/>
        </w:rPr>
        <w:t xml:space="preserve">"Studies"</w:t>
      </w:r>
      <w:r>
        <w:br/>
      </w:r>
      <w:r>
        <w:rPr>
          <w:rStyle w:val="NormalTok"/>
        </w:rPr>
        <w:t xml:space="preserve">    )</w:t>
      </w:r>
      <w:r>
        <w:br/>
      </w:r>
      <w:r>
        <w:rPr>
          <w:rStyle w:val="NormalTok"/>
        </w:rPr>
        <w:t xml:space="preserve">  )</w:t>
      </w:r>
    </w:p>
    <w:p>
      <w:pPr>
        <w:pStyle w:val="SourceCode"/>
      </w:pPr>
      <w:r>
        <w:rPr>
          <w:rStyle w:val="NormalTok"/>
        </w:rPr>
        <w:t xml:space="preserve">threshold_robustness_plot </w:t>
      </w:r>
      <w:r>
        <w:rPr>
          <w:rStyle w:val="OtherTok"/>
        </w:rPr>
        <w:t xml:space="preserve">&lt;-</w:t>
      </w:r>
      <w:r>
        <w:br/>
      </w:r>
      <w:r>
        <w:rPr>
          <w:rStyle w:val="NormalTok"/>
        </w:rPr>
        <w:t xml:space="preserve">  threshold_robustness_plot_data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tolerance_region,</w:t>
      </w:r>
      <w:r>
        <w:br/>
      </w:r>
      <w:r>
        <w:rPr>
          <w:rStyle w:val="NormalTok"/>
        </w:rPr>
        <w:t xml:space="preserve">    </w:t>
      </w:r>
      <w:r>
        <w:rPr>
          <w:rStyle w:val="AttributeTok"/>
        </w:rPr>
        <w:t xml:space="preserve">y =</w:t>
      </w:r>
      <w:r>
        <w:rPr>
          <w:rStyle w:val="NormalTok"/>
        </w:rPr>
        <w:t xml:space="preserve"> value,</w:t>
      </w:r>
      <w:r>
        <w:br/>
      </w:r>
      <w:r>
        <w:rPr>
          <w:rStyle w:val="NormalTok"/>
        </w:rPr>
        <w:t xml:space="preserve">    </w:t>
      </w:r>
      <w:r>
        <w:rPr>
          <w:rStyle w:val="AttributeTok"/>
        </w:rPr>
        <w:t xml:space="preserve">linetype =</w:t>
      </w:r>
      <w:r>
        <w:rPr>
          <w:rStyle w:val="NormalTok"/>
        </w:rPr>
        <w:t xml:space="preserve"> type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"#440154FF"</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viridis</w:t>
      </w:r>
      <w:r>
        <w:rPr>
          <w:rStyle w:val="SpecialCharTok"/>
        </w:rPr>
        <w:t xml:space="preserve">::</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"Width of the Cohen's d tolerance 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within the tolerance region"</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"Percentage of"</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"figures_barna/threshold_robustness_plot.jpg"</w:t>
      </w:r>
      <w:r>
        <w:rPr>
          <w:rStyle w:val="NormalTok"/>
        </w:rPr>
        <w:t xml:space="preserve">), threshold_robustness_plot,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threshold_robustness_plot</w:t>
      </w:r>
    </w:p>
    <w:p>
      <w:pPr>
        <w:pStyle w:val="FirstParagraph"/>
      </w:pPr>
      <w:r>
        <w:drawing>
          <wp:inline>
            <wp:extent cx="4620126" cy="3696101"/>
            <wp:effectExtent b="0" l="0" r="0" t="0"/>
            <wp:docPr descr="" title="" id="127" name="Picture"/>
            <a:graphic>
              <a:graphicData uri="http://schemas.openxmlformats.org/drawingml/2006/picture">
                <pic:pic>
                  <pic:nvPicPr>
                    <pic:cNvPr descr="multi100_results_files/figure-docx/unnamed-chunk-7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br/>
      </w:r>
      <w:r>
        <w:rPr>
          <w:rStyle w:val="NormalTok"/>
        </w:rPr>
        <w:t xml:space="preserve">threshold_weighted_robustness_plot_data </w:t>
      </w:r>
      <w:r>
        <w:rPr>
          <w:rStyle w:val="OtherTok"/>
        </w:rPr>
        <w:t xml:space="preserve">&lt;-</w:t>
      </w:r>
      <w:r>
        <w:rPr>
          <w:rStyle w:val="NormalTok"/>
        </w:rPr>
        <w:t xml:space="preserve"> </w:t>
      </w:r>
      <w:r>
        <w:rPr>
          <w:rStyle w:val="FunctionTok"/>
        </w:rPr>
        <w:t xml:space="preserve">map_df</w:t>
      </w:r>
      <w:r>
        <w:rPr>
          <w:rStyle w:val="NormalTok"/>
        </w:rPr>
        <w:t xml:space="preserve">(weights, </w:t>
      </w:r>
      <w:r>
        <w:rPr>
          <w:rStyle w:val="SpecialCharTok"/>
        </w:rPr>
        <w:t xml:space="preserve">~</w:t>
      </w:r>
      <w:r>
        <w:rPr>
          <w:rStyle w:val="NormalTok"/>
        </w:rPr>
        <w:t xml:space="preserve"> </w:t>
      </w:r>
      <w:r>
        <w:rPr>
          <w:rStyle w:val="FunctionTok"/>
        </w:rPr>
        <w:t xml:space="preserve">calculate_tolerance_region_proportions</w:t>
      </w:r>
      <w:r>
        <w:rPr>
          <w:rStyle w:val="NormalTok"/>
        </w:rPr>
        <w:t xml:space="preserve">(processed, </w:t>
      </w:r>
      <w:r>
        <w:rPr>
          <w:rStyle w:val="AttributeTok"/>
        </w:rPr>
        <w:t xml:space="preserve">threshold =</w:t>
      </w:r>
      <w:r>
        <w:rPr>
          <w:rStyle w:val="NormalTok"/>
        </w:rPr>
        <w:t xml:space="preserve"> </w:t>
      </w:r>
      <w:r>
        <w:rPr>
          <w:rStyle w:val="ConstantTok"/>
        </w:rPr>
        <w:t xml:space="preserve">NULL</w:t>
      </w:r>
      <w:r>
        <w:rPr>
          <w:rStyle w:val="NormalTok"/>
        </w:rPr>
        <w:t xml:space="preserve">, </w:t>
      </w:r>
      <w:r>
        <w:rPr>
          <w:rStyle w:val="AttributeTok"/>
        </w:rPr>
        <w:t xml:space="preserve">weight =</w:t>
      </w:r>
      <w:r>
        <w:rPr>
          <w:rStyle w:val="NormalTok"/>
        </w:rPr>
        <w:t xml:space="preserve"> .x))</w:t>
      </w:r>
      <w:r>
        <w:br/>
      </w:r>
      <w:r>
        <w:br/>
      </w:r>
      <w:r>
        <w:rPr>
          <w:rStyle w:val="NormalTok"/>
        </w:rPr>
        <w:t xml:space="preserve">threshold_weighted_robustness_plot_data </w:t>
      </w:r>
      <w:r>
        <w:rPr>
          <w:rStyle w:val="OtherTok"/>
        </w:rPr>
        <w:t xml:space="preserve">&lt;-</w:t>
      </w:r>
      <w:r>
        <w:br/>
      </w:r>
      <w:r>
        <w:rPr>
          <w:rStyle w:val="NormalTok"/>
        </w:rPr>
        <w:t xml:space="preserve">  threshold_weighted_robustness_plot_data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(analysis_percentage, paper_percentage),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"_percentage"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rPr>
          <w:rStyle w:val="StringTok"/>
        </w:rPr>
        <w:t xml:space="preserve">"_percentage"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"analysis"</w:t>
      </w:r>
      <w:r>
        <w:rPr>
          <w:rStyle w:val="NormalTok"/>
        </w:rPr>
        <w:t xml:space="preserve"> </w:t>
      </w:r>
      <w:r>
        <w:rPr>
          <w:rStyle w:val="SpecialCharTok"/>
        </w:rPr>
        <w:t xml:space="preserve">~</w:t>
      </w:r>
      <w:r>
        <w:rPr>
          <w:rStyle w:val="NormalTok"/>
        </w:rPr>
        <w:t xml:space="preserve"> </w:t>
      </w:r>
      <w:r>
        <w:rPr>
          <w:rStyle w:val="StringTok"/>
        </w:rPr>
        <w:t xml:space="preserve">"Re-analysis effect sizes"</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"paper"</w:t>
      </w:r>
      <w:r>
        <w:rPr>
          <w:rStyle w:val="NormalTok"/>
        </w:rPr>
        <w:t xml:space="preserve"> </w:t>
      </w:r>
      <w:r>
        <w:rPr>
          <w:rStyle w:val="SpecialCharTok"/>
        </w:rPr>
        <w:t xml:space="preserve">~</w:t>
      </w:r>
      <w:r>
        <w:rPr>
          <w:rStyle w:val="NormalTok"/>
        </w:rPr>
        <w:t xml:space="preserve"> </w:t>
      </w:r>
      <w:r>
        <w:rPr>
          <w:rStyle w:val="StringTok"/>
        </w:rPr>
        <w:t xml:space="preserve">"Studies"</w:t>
      </w:r>
      <w:r>
        <w:br/>
      </w:r>
      <w:r>
        <w:rPr>
          <w:rStyle w:val="NormalTok"/>
        </w:rPr>
        <w:t xml:space="preserve">    )</w:t>
      </w:r>
      <w:r>
        <w:br/>
      </w:r>
      <w:r>
        <w:rPr>
          <w:rStyle w:val="NormalTok"/>
        </w:rPr>
        <w:t xml:space="preserve">  )</w:t>
      </w:r>
    </w:p>
    <w:p>
      <w:pPr>
        <w:pStyle w:val="SourceCode"/>
      </w:pPr>
      <w:r>
        <w:rPr>
          <w:rStyle w:val="NormalTok"/>
        </w:rPr>
        <w:t xml:space="preserve">threshold_weighted_robustness_plot </w:t>
      </w:r>
      <w:r>
        <w:rPr>
          <w:rStyle w:val="OtherTok"/>
        </w:rPr>
        <w:t xml:space="preserve">&lt;-</w:t>
      </w:r>
      <w:r>
        <w:br/>
      </w:r>
      <w:r>
        <w:rPr>
          <w:rStyle w:val="NormalTok"/>
        </w:rPr>
        <w:t xml:space="preserve">  threshold_weighted_robustness_plot_data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value,</w:t>
      </w:r>
      <w:r>
        <w:br/>
      </w:r>
      <w:r>
        <w:rPr>
          <w:rStyle w:val="NormalTok"/>
        </w:rPr>
        <w:t xml:space="preserve">    </w:t>
      </w:r>
      <w:r>
        <w:rPr>
          <w:rStyle w:val="AttributeTok"/>
        </w:rPr>
        <w:t xml:space="preserve">linetype =</w:t>
      </w:r>
      <w:r>
        <w:rPr>
          <w:rStyle w:val="NormalTok"/>
        </w:rPr>
        <w:t xml:space="preserve"> type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viridis</w:t>
      </w:r>
      <w:r>
        <w:rPr>
          <w:rStyle w:val="SpecialCharTok"/>
        </w:rPr>
        <w:t xml:space="preserve">::</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original study's Cohen's d used</w:t>
      </w:r>
      <w:r>
        <w:rPr>
          <w:rStyle w:val="SpecialCharTok"/>
        </w:rPr>
        <w:t xml:space="preserve">\n</w:t>
      </w:r>
      <w:r>
        <w:rPr>
          <w:rStyle w:val="StringTok"/>
        </w:rPr>
        <w:t xml:space="preserve">to calculate tolerance 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within the tolerance region"</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"Percentage of"</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"figures_barna/threshold_weighted_robustness_plot.jpg"</w:t>
      </w:r>
      <w:r>
        <w:rPr>
          <w:rStyle w:val="NormalTok"/>
        </w:rPr>
        <w:t xml:space="preserve">), threshold_weighted_robustness_plot,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threshold_weighted_robustness_plot</w:t>
      </w:r>
    </w:p>
    <w:p>
      <w:pPr>
        <w:pStyle w:val="FirstParagraph"/>
      </w:pPr>
      <w:r>
        <w:drawing>
          <wp:inline>
            <wp:extent cx="4620126" cy="3696101"/>
            <wp:effectExtent b="0" l="0" r="0" t="0"/>
            <wp:docPr descr="" title="" id="130" name="Picture"/>
            <a:graphic>
              <a:graphicData uri="http://schemas.openxmlformats.org/drawingml/2006/picture">
                <pic:pic>
                  <pic:nvPicPr>
                    <pic:cNvPr descr="multi100_results_files/figure-docx/unnamed-chunk-73-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Start w:id="140"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separately by the disciplines of the studies.</w:t>
      </w:r>
      <w:r>
        <w:t xml:space="preserve"> </w:t>
      </w:r>
      <w:hyperlink w:anchor="fig-effect-region-discipline">
        <w:r>
          <w:rPr>
            <w:rStyle w:val="Hyperlink"/>
          </w:rPr>
          <w:t xml:space="preserve">Figure 23</w:t>
        </w:r>
      </w:hyperlink>
      <w:r>
        <w:t xml:space="preserve"> </w:t>
      </w:r>
      <w:r>
        <w:t xml:space="preserve">and</w:t>
      </w:r>
      <w:r>
        <w:t xml:space="preserve"> </w:t>
      </w:r>
      <w:hyperlink w:anchor="fig-effect-robustness-discipline">
        <w:r>
          <w:rPr>
            <w:rStyle w:val="Hyperlink"/>
          </w:rPr>
          <w:t xml:space="preserve">Figure 24</w:t>
        </w:r>
      </w:hyperlink>
      <w:r>
        <w:t xml:space="preserve"> </w:t>
      </w:r>
      <w:r>
        <w:t xml:space="preserve">show that for the major disciplines (&gt;=10 studies).</w:t>
      </w:r>
    </w:p>
    <w:tbl>
      <w:tblPr>
        <w:tblStyle w:val="Table"/>
        <w:tblW w:type="pct" w:w="5000"/>
        <w:tblLook w:firstRow="0" w:lastRow="0" w:firstColumn="0" w:lastColumn="0" w:noHBand="0" w:noVBand="0" w:val="0000"/>
        <w:jc w:val="start"/>
      </w:tblPr>
      <w:tblGrid>
        <w:gridCol w:w="7920"/>
      </w:tblGrid>
      <w:tr>
        <w:tc>
          <w:tcPr/>
          <w:bookmarkStart w:id="135" w:name="fig-effect-region-discipline"/>
          <w:p>
            <w:pPr>
              <w:jc w:val="center"/>
            </w:pPr>
            <w:r>
              <w:drawing>
                <wp:inline>
                  <wp:extent cx="4620126" cy="3696101"/>
                  <wp:effectExtent b="0" l="0" r="0" t="0"/>
                  <wp:docPr descr="" title="" id="133" name="Picture"/>
                  <a:graphic>
                    <a:graphicData uri="http://schemas.openxmlformats.org/drawingml/2006/picture">
                      <pic:pic>
                        <pic:nvPicPr>
                          <pic:cNvPr descr="multi100_results_files/figure-docx/fig-effect-region-disciplin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 the percentage of re-analysis results falling within or outside of the tolerance region of the original results of the studies by major disciplines. The figure displays the count of re-analyses next to each discipline name.</w:t>
            </w:r>
          </w:p>
          <w:bookmarkEnd w:id="135"/>
        </w:tc>
      </w:tr>
    </w:tbl>
    <w:p>
      <w:pPr>
        <w:pStyle w:val="BodyText"/>
      </w:pPr>
      <w:r>
        <w:t xml:space="preserve"> </w:t>
      </w:r>
    </w:p>
    <w:p>
      <w:pPr>
        <w:pStyle w:val="SourceCode"/>
      </w:pPr>
      <w:r>
        <w:rPr>
          <w:rStyle w:val="VerbatimChar"/>
        </w:rPr>
        <w:t xml:space="preserve">Warning: Groups with fewer than two data points have been dropped.</w:t>
      </w:r>
      <w:r>
        <w:br/>
      </w:r>
      <w:r>
        <w:rPr>
          <w:rStyle w:val="VerbatimChar"/>
        </w:rPr>
        <w:t xml:space="preserve">Groups with fewer than two data points have been dropped.</w:t>
      </w:r>
    </w:p>
    <w:tbl>
      <w:tblPr>
        <w:tblStyle w:val="Table"/>
        <w:tblW w:type="pct" w:w="5000"/>
        <w:tblLook w:firstRow="0" w:lastRow="0" w:firstColumn="0" w:lastColumn="0" w:noHBand="0" w:noVBand="0" w:val="0000"/>
        <w:jc w:val="start"/>
      </w:tblPr>
      <w:tblGrid>
        <w:gridCol w:w="7920"/>
      </w:tblGrid>
      <w:tr>
        <w:tc>
          <w:tcPr/>
          <w:bookmarkStart w:id="139" w:name="fig-effect-robustness-discipline"/>
          <w:p>
            <w:pPr>
              <w:jc w:val="center"/>
            </w:pPr>
            <w:r>
              <w:drawing>
                <wp:inline>
                  <wp:extent cx="4620126" cy="3696101"/>
                  <wp:effectExtent b="0" l="0" r="0" t="0"/>
                  <wp:docPr descr="" title="" id="137" name="Picture"/>
                  <a:graphic>
                    <a:graphicData uri="http://schemas.openxmlformats.org/drawingml/2006/picture">
                      <pic:pic>
                        <pic:nvPicPr>
                          <pic:cNvPr descr="multi100_results_files/figure-docx/fig-effect-robustness-disciplin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This raincloud figure shows for each major discipline the distributions of effect size estimate ranges (lowest to highest) calculated per study.</w:t>
            </w:r>
          </w:p>
          <w:bookmarkEnd w:id="139"/>
        </w:tc>
      </w:tr>
    </w:tbl>
    <w:bookmarkEnd w:id="140"/>
    <w:bookmarkStart w:id="149" w:name="X44fb8e18d7e51363c317078d779b9d4bdafa445"/>
    <w:p>
      <w:pPr>
        <w:pStyle w:val="Heading5"/>
      </w:pPr>
      <w:r>
        <w:t xml:space="preserve">Estimate robustness by study design (observational, experimental)</w:t>
      </w:r>
    </w:p>
    <w:p>
      <w:pPr>
        <w:pStyle w:val="FirstParagraph"/>
      </w:pPr>
      <w:r>
        <w:t xml:space="preserve">Here (</w:t>
      </w:r>
      <w:hyperlink w:anchor="fig-effect-region-studytype">
        <w:r>
          <w:rPr>
            <w:rStyle w:val="Hyperlink"/>
          </w:rPr>
          <w:t xml:space="preserve">Figure 25</w:t>
        </w:r>
      </w:hyperlink>
      <w:r>
        <w:t xml:space="preserve"> </w:t>
      </w:r>
      <w:r>
        <w:t xml:space="preserve">and</w:t>
      </w:r>
      <w:r>
        <w:t xml:space="preserve"> </w:t>
      </w:r>
      <w:hyperlink w:anchor="fig-effect-robustness-studytype">
        <w:r>
          <w:rPr>
            <w:rStyle w:val="Hyperlink"/>
          </w:rPr>
          <w:t xml:space="preserve">Figure 26</w:t>
        </w:r>
      </w:hyperlink>
      <w:r>
        <w:t xml:space="preserv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44" w:name="fig-effect-region-studytype"/>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egion-studytype-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 the percentage of re-analysis results falling within or outside of the tolerance region of the original results of the studies by study type. The figure displays the count of re-analyses next to each discipline name.</w:t>
            </w:r>
          </w:p>
          <w:bookmarkEnd w:id="144"/>
        </w:tc>
      </w:tr>
    </w:tbl>
    <w:p>
      <w:pPr>
        <w:pStyle w:val="BodyText"/>
      </w:pPr>
      <w:r>
        <w:t xml:space="preserve"> </w:t>
      </w:r>
    </w:p>
    <w:p>
      <w:pPr>
        <w:pStyle w:val="SourceCode"/>
      </w:pPr>
      <w:r>
        <w:rPr>
          <w:rStyle w:val="VerbatimChar"/>
        </w:rPr>
        <w:t xml:space="preserve">Warning: Groups with fewer than two data points have been dropped.</w:t>
      </w:r>
      <w:r>
        <w:br/>
      </w:r>
      <w:r>
        <w:rPr>
          <w:rStyle w:val="VerbatimChar"/>
        </w:rPr>
        <w:t xml:space="preserve">Groups with fewer than two data points have been dropped.</w:t>
      </w:r>
    </w:p>
    <w:tbl>
      <w:tblPr>
        <w:tblStyle w:val="Table"/>
        <w:tblW w:type="pct" w:w="5000"/>
        <w:tblLook w:firstRow="0" w:lastRow="0" w:firstColumn="0" w:lastColumn="0" w:noHBand="0" w:noVBand="0" w:val="0000"/>
        <w:jc w:val="start"/>
      </w:tblPr>
      <w:tblGrid>
        <w:gridCol w:w="7920"/>
      </w:tblGrid>
      <w:tr>
        <w:tc>
          <w:tcPr/>
          <w:bookmarkStart w:id="148" w:name="fig-effect-robustness-studytype"/>
          <w:p>
            <w:pPr>
              <w:jc w:val="center"/>
            </w:pPr>
            <w:r>
              <w:drawing>
                <wp:inline>
                  <wp:extent cx="4620126" cy="3696101"/>
                  <wp:effectExtent b="0" l="0" r="0" t="0"/>
                  <wp:docPr descr="" title="" id="146" name="Picture"/>
                  <a:graphic>
                    <a:graphicData uri="http://schemas.openxmlformats.org/drawingml/2006/picture">
                      <pic:pic>
                        <pic:nvPicPr>
                          <pic:cNvPr descr="multi100_results_files/figure-docx/fig-effect-robustness-studytype-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This raincloud figure shows for each study type the distribution of effect size estimate ranges (lowest to highest) calculated per study.</w:t>
            </w:r>
          </w:p>
          <w:bookmarkEnd w:id="148"/>
        </w:tc>
      </w:tr>
    </w:tbl>
    <w:bookmarkEnd w:id="149"/>
    <w:bookmarkStart w:id="154" w:name="estimate-robustness-by-expertise"/>
    <w:p>
      <w:pPr>
        <w:pStyle w:val="Heading5"/>
      </w:pPr>
      <w:r>
        <w:t xml:space="preserve">Estimate robustness by expertise</w:t>
      </w:r>
    </w:p>
    <w:p>
      <w:pPr>
        <w:pStyle w:val="FirstParagraph"/>
      </w:pPr>
      <w:r>
        <w:t xml:space="preserve">Here (</w:t>
      </w:r>
      <w:hyperlink w:anchor="fig-effect-region-expertise">
        <w:r>
          <w:rPr>
            <w:rStyle w:val="Hyperlink"/>
          </w:rPr>
          <w:t xml:space="preserve">Figure 27</w:t>
        </w:r>
      </w:hyperlink>
      <w:r>
        <w:t xml:space="preserv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53" w:name="fig-effect-region-expertise"/>
          <w:p>
            <w:pPr>
              <w:jc w:val="center"/>
            </w:pPr>
            <w:r>
              <w:drawing>
                <wp:inline>
                  <wp:extent cx="4620126" cy="3696101"/>
                  <wp:effectExtent b="0" l="0" r="0" t="0"/>
                  <wp:docPr descr="" title="" id="151" name="Picture"/>
                  <a:graphic>
                    <a:graphicData uri="http://schemas.openxmlformats.org/drawingml/2006/picture">
                      <pic:pic>
                        <pic:nvPicPr>
                          <pic:cNvPr descr="multi100_results_files/figure-docx/fig-effect-region-expertise-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the percentage of re-analysis results falling within or outside of the tolerance region of the original results of the studies by self-rated expertise (on a scale of 1 (Beginner) to 10 (Expert)).</w:t>
            </w:r>
          </w:p>
          <w:bookmarkEnd w:id="153"/>
        </w:tc>
      </w:tr>
    </w:tbl>
    <w:bookmarkEnd w:id="154"/>
    <w:bookmarkStart w:id="159"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58" w:name="fig-effect-region-familiarity"/>
          <w:p>
            <w:pPr>
              <w:jc w:val="center"/>
            </w:pPr>
            <w:r>
              <w:drawing>
                <wp:inline>
                  <wp:extent cx="4620126" cy="3696101"/>
                  <wp:effectExtent b="0" l="0" r="0" t="0"/>
                  <wp:docPr descr="" title="" id="156" name="Picture"/>
                  <a:graphic>
                    <a:graphicData uri="http://schemas.openxmlformats.org/drawingml/2006/picture">
                      <pic:pic>
                        <pic:nvPicPr>
                          <pic:cNvPr descr="multi100_results_files/figure-docx/fig-effect-region-familiarity-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The figure shows the percentage of re-analysis results falling within or outside of the tolerance region of the original results of the studies by declared familiarity with the study.</w:t>
            </w:r>
          </w:p>
          <w:bookmarkEnd w:id="158"/>
        </w:tc>
      </w:tr>
    </w:tbl>
    <w:bookmarkEnd w:id="159"/>
    <w:bookmarkStart w:id="160" w:name="X0ec152724a87b48c76365c47de45b5a1eb105c7"/>
    <w:p>
      <w:pPr>
        <w:pStyle w:val="Heading5"/>
      </w:pPr>
      <w:r>
        <w:t xml:space="preserve">Estimate robustness by the level of confidence with the suitability of the analysis</w:t>
      </w:r>
    </w:p>
    <w:p>
      <w:pPr>
        <w:pStyle w:val="FirstParagraph"/>
      </w:pPr>
      <w:r>
        <w:t xml:space="preserve">Here (Table 4), we were interested to see whether these results show a different pattern when inspecting them along their level of confidence with the suitability of the analysis.</w:t>
      </w:r>
    </w:p>
    <w:p>
      <w:pPr>
        <w:pStyle w:val="BodyText"/>
      </w:pPr>
      <w:r>
        <w:rPr>
          <w:bCs/>
          <w:b/>
        </w:rPr>
        <w:t xml:space="preserve">Table 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w:t>
            </w:r>
          </w:p>
        </w:tc>
      </w:tr>
    </w:tbl>
    <w:bookmarkEnd w:id="160"/>
    <w:bookmarkStart w:id="168" w:name="estimate-robustness-by-the-sample-size"/>
    <w:p>
      <w:pPr>
        <w:pStyle w:val="Heading5"/>
      </w:pPr>
      <w:r>
        <w:t xml:space="preserve">Estimate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29</w:t>
        </w:r>
      </w:hyperlink>
      <w:r>
        <w:t xml:space="preserve"> </w:t>
      </w:r>
      <w:r>
        <w:t xml:space="preserve">shows no remarkable differences between the two categories.</w:t>
      </w:r>
    </w:p>
    <w:tbl>
      <w:tblPr>
        <w:tblStyle w:val="Table"/>
        <w:tblW w:type="pct" w:w="5000"/>
        <w:tblLook w:firstRow="0" w:lastRow="0" w:firstColumn="0" w:lastColumn="0" w:noHBand="0" w:noVBand="0" w:val="0000"/>
        <w:jc w:val="start"/>
      </w:tblPr>
      <w:tblGrid>
        <w:gridCol w:w="7920"/>
      </w:tblGrid>
      <w:tr>
        <w:tc>
          <w:tcPr/>
          <w:bookmarkStart w:id="164" w:name="fig-samplesize-region"/>
          <w:p>
            <w:pPr>
              <w:jc w:val="center"/>
            </w:pPr>
            <w:r>
              <w:drawing>
                <wp:inline>
                  <wp:extent cx="4620126" cy="3696101"/>
                  <wp:effectExtent b="0" l="0" r="0" t="0"/>
                  <wp:docPr descr="" title="" id="162" name="Picture"/>
                  <a:graphic>
                    <a:graphicData uri="http://schemas.openxmlformats.org/drawingml/2006/picture">
                      <pic:pic>
                        <pic:nvPicPr>
                          <pic:cNvPr descr="multi100_results_files/figure-docx/fig-samplesize-region-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figure shows the distribution of sample sizes separately for re-analysis effect sizes falling within or outside of the tolerance region of the original results. In this figure, we could not include those studies where the original effect sizes were missing, and cases where the re-analysis effect size or sample size were missing.</w:t>
            </w:r>
          </w:p>
          <w:bookmarkEnd w:id="164"/>
        </w:tc>
      </w:tr>
    </w:tbl>
    <w:p>
      <w:pPr>
        <w:pStyle w:val="SourceCode"/>
      </w:pPr>
      <w:r>
        <w:rPr>
          <w:rStyle w:val="NormalTok"/>
        </w:rPr>
        <w:t xml:space="preserve">df_region_data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paper_id,</w:t>
      </w:r>
      <w:r>
        <w:br/>
      </w:r>
      <w:r>
        <w:rPr>
          <w:rStyle w:val="NormalTok"/>
        </w:rPr>
        <w:t xml:space="preserve">    analyst_id,</w:t>
      </w:r>
      <w:r>
        <w:br/>
      </w:r>
      <w:r>
        <w:rPr>
          <w:rStyle w:val="NormalTok"/>
        </w:rPr>
        <w:t xml:space="preserve">    reanalysis_degrees_of_freedom_1,</w:t>
      </w:r>
      <w:r>
        <w:br/>
      </w:r>
      <w:r>
        <w:rPr>
          <w:rStyle w:val="NormalTok"/>
        </w:rPr>
        <w:t xml:space="preserve">    reanalysis_degrees_of_freedom_2,</w:t>
      </w:r>
      <w:r>
        <w:br/>
      </w:r>
      <w:r>
        <w:rPr>
          <w:rStyle w:val="NormalTok"/>
        </w:rPr>
        <w:t xml:space="preserve">    original_cohens_d,</w:t>
      </w:r>
      <w:r>
        <w:br/>
      </w:r>
      <w:r>
        <w:rPr>
          <w:rStyle w:val="NormalTok"/>
        </w:rPr>
        <w:t xml:space="preserve">    reanalysis_cohens_d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reanalysis_degrees_of_freedom_1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(reanalysis_degrees_of_freedom_2) </w:t>
      </w:r>
      <w:r>
        <w:rPr>
          <w:rStyle w:val="SpecialCharTok"/>
        </w:rPr>
        <w:t xml:space="preserve">~</w:t>
      </w:r>
      <w:r>
        <w:rPr>
          <w:rStyle w:val="NormalTok"/>
        </w:rPr>
        <w:t xml:space="preserve"> reanalysis_degrees_of_freedom_2,</w:t>
      </w:r>
      <w:r>
        <w:br/>
      </w:r>
      <w:r>
        <w:rPr>
          <w:rStyle w:val="NormalTok"/>
        </w:rPr>
        <w:t xml:space="preserve">      </w:t>
      </w:r>
      <w:r>
        <w:rPr>
          <w:rStyle w:val="FunctionTok"/>
        </w:rPr>
        <w:t xml:space="preserve">is.na</w:t>
      </w:r>
      <w:r>
        <w:rPr>
          <w:rStyle w:val="NormalTok"/>
        </w:rPr>
        <w:t xml:space="preserve">(reanalysis_degrees_of_freedom_2) </w:t>
      </w:r>
      <w:r>
        <w:rPr>
          <w:rStyle w:val="SpecialCharTok"/>
        </w:rPr>
        <w:t xml:space="preserve">~</w:t>
      </w:r>
      <w:r>
        <w:rPr>
          <w:rStyle w:val="NormalTok"/>
        </w:rPr>
        <w:t xml:space="preserve"> reanalysis_degrees_of_freedom_1</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reanalysis_degrees_of_freedom_2)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(original_cohens_d),</w:t>
      </w:r>
      <w:r>
        <w:rPr>
          <w:rStyle w:val="SpecialCharTok"/>
        </w:rPr>
        <w:t xml:space="preserve">!</w:t>
      </w:r>
      <w:r>
        <w:rPr>
          <w:rStyle w:val="FunctionTok"/>
        </w:rPr>
        <w:t xml:space="preserve">is.na</w:t>
      </w:r>
      <w:r>
        <w:rPr>
          <w:rStyle w:val="NormalTok"/>
        </w:rPr>
        <w:t xml:space="preserve">(reanalysis_cohens_d),</w:t>
      </w:r>
      <w:r>
        <w:rPr>
          <w:rStyle w:val="SpecialCharTok"/>
        </w:rPr>
        <w:t xml:space="preserve">!</w:t>
      </w:r>
      <w:r>
        <w:rPr>
          <w:rStyle w:val="FunctionTok"/>
        </w:rPr>
        <w:t xml:space="preserve">is.na</w:t>
      </w:r>
      <w:r>
        <w:rPr>
          <w:rStyle w:val="NormalTok"/>
        </w:rPr>
        <w:t xml:space="preserve">(reanalysis_degrees_of_freedom_1)</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tolarence_region_lower =</w:t>
      </w:r>
      <w:r>
        <w:rPr>
          <w:rStyle w:val="NormalTok"/>
        </w:rPr>
        <w:t xml:space="preserve"> original_cohens_d </w:t>
      </w:r>
      <w:r>
        <w:rPr>
          <w:rStyle w:val="SpecialCha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tolarence_region_upper =</w:t>
      </w:r>
      <w:r>
        <w:rPr>
          <w:rStyle w:val="NormalTok"/>
        </w:rPr>
        <w:t xml:space="preserve"> original_cohens_d </w:t>
      </w:r>
      <w:r>
        <w:rPr>
          <w:rStyle w:val="SpecialCha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is_within_region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reanalysis_cohens_d </w:t>
      </w:r>
      <w:r>
        <w:rPr>
          <w:rStyle w:val="SpecialCharTok"/>
        </w:rPr>
        <w:t xml:space="preserve">&lt;=</w:t>
      </w:r>
      <w:r>
        <w:rPr>
          <w:rStyle w:val="NormalTok"/>
        </w:rPr>
        <w:t xml:space="preserve"> tolarence_region_lower </w:t>
      </w:r>
      <w:r>
        <w:rPr>
          <w:rStyle w:val="SpecialCharTok"/>
        </w:rPr>
        <w:t xml:space="preserve">|</w:t>
      </w:r>
      <w:r>
        <w:br/>
      </w:r>
      <w:r>
        <w:rPr>
          <w:rStyle w:val="NormalTok"/>
        </w:rPr>
        <w:t xml:space="preserve">        reanalysis_cohens_d </w:t>
      </w:r>
      <w:r>
        <w:rPr>
          <w:rStyle w:val="SpecialCharTok"/>
        </w:rPr>
        <w:t xml:space="preserve">&gt;=</w:t>
      </w:r>
      <w:r>
        <w:rPr>
          <w:rStyle w:val="NormalTok"/>
        </w:rPr>
        <w:t xml:space="preserve"> tolarence_region_upper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reanalysis_cohens_d </w:t>
      </w:r>
      <w:r>
        <w:rPr>
          <w:rStyle w:val="SpecialCharTok"/>
        </w:rPr>
        <w:t xml:space="preserve">&gt;=</w:t>
      </w:r>
      <w:r>
        <w:rPr>
          <w:rStyle w:val="NormalTok"/>
        </w:rPr>
        <w:t xml:space="preserve"> tolarence_region_lower </w:t>
      </w:r>
      <w:r>
        <w:rPr>
          <w:rStyle w:val="SpecialCharTok"/>
        </w:rPr>
        <w:t xml:space="preserve">|</w:t>
      </w:r>
      <w:r>
        <w:br/>
      </w:r>
      <w:r>
        <w:rPr>
          <w:rStyle w:val="NormalTok"/>
        </w:rPr>
        <w:t xml:space="preserve">        reanalysis_cohens_d </w:t>
      </w:r>
      <w:r>
        <w:rPr>
          <w:rStyle w:val="SpecialCharTok"/>
        </w:rPr>
        <w:t xml:space="preserve">&lt;=</w:t>
      </w:r>
      <w:r>
        <w:rPr>
          <w:rStyle w:val="NormalTok"/>
        </w:rPr>
        <w:t xml:space="preserve"> tolarence_region_upper </w:t>
      </w:r>
      <w:r>
        <w:rPr>
          <w:rStyle w:val="SpecialCha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w:t>
      </w:r>
      <w:r>
        <w:rPr>
          <w:rStyle w:val="AttributeTok"/>
        </w:rPr>
        <w:t xml:space="preserve">is_within_region =</w:t>
      </w:r>
      <w:r>
        <w:rPr>
          <w:rStyle w:val="NormalTok"/>
        </w:rPr>
        <w:t xml:space="preserve"> </w:t>
      </w:r>
      <w:r>
        <w:rPr>
          <w:rStyle w:val="FunctionTok"/>
        </w:rPr>
        <w:t xml:space="preserve">factor</w:t>
      </w:r>
      <w:r>
        <w:rPr>
          <w:rStyle w:val="NormalTok"/>
        </w:rPr>
        <w:t xml:space="preserve">(is_within_region,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br/>
      </w:r>
      <w:r>
        <w:br/>
      </w:r>
      <w:r>
        <w:rPr>
          <w:rStyle w:val="NormalTok"/>
        </w:rPr>
        <w:t xml:space="preserve">df_region_plot </w:t>
      </w:r>
      <w:r>
        <w:rPr>
          <w:rStyle w:val="OtherTok"/>
        </w:rPr>
        <w:t xml:space="preserve">&lt;-</w:t>
      </w:r>
      <w:r>
        <w:br/>
      </w:r>
      <w:r>
        <w:rPr>
          <w:rStyle w:val="NormalTok"/>
        </w:rPr>
        <w:t xml:space="preserve">  </w:t>
      </w:r>
      <w:r>
        <w:rPr>
          <w:rStyle w:val="FunctionTok"/>
        </w:rPr>
        <w:t xml:space="preserve">plot_rain</w:t>
      </w:r>
      <w:r>
        <w:rPr>
          <w:rStyle w:val="NormalTok"/>
        </w:rPr>
        <w:t xml:space="preserve">(</w:t>
      </w:r>
      <w:r>
        <w:br/>
      </w:r>
      <w:r>
        <w:rPr>
          <w:rStyle w:val="NormalTok"/>
        </w:rPr>
        <w:t xml:space="preserve">    </w:t>
      </w:r>
      <w:r>
        <w:rPr>
          <w:rStyle w:val="AttributeTok"/>
        </w:rPr>
        <w:t xml:space="preserve">data =</w:t>
      </w:r>
      <w:r>
        <w:rPr>
          <w:rStyle w:val="NormalTok"/>
        </w:rPr>
        <w:t xml:space="preserve"> df_region_data,</w:t>
      </w:r>
      <w:r>
        <w:br/>
      </w:r>
      <w:r>
        <w:rPr>
          <w:rStyle w:val="NormalTok"/>
        </w:rPr>
        <w:t xml:space="preserve">    </w:t>
      </w:r>
      <w:r>
        <w:rPr>
          <w:rStyle w:val="AttributeTok"/>
        </w:rPr>
        <w:t xml:space="preserve">grouping_var =</w:t>
      </w:r>
      <w:r>
        <w:rPr>
          <w:rStyle w:val="NormalTok"/>
        </w:rPr>
        <w:t xml:space="preserve"> is_within_region,</w:t>
      </w:r>
      <w:r>
        <w:br/>
      </w:r>
      <w:r>
        <w:rPr>
          <w:rStyle w:val="NormalTok"/>
        </w:rPr>
        <w:t xml:space="preserve">    </w:t>
      </w:r>
      <w:r>
        <w:rPr>
          <w:rStyle w:val="AttributeTok"/>
        </w:rPr>
        <w:t xml:space="preserve">response_var =</w:t>
      </w:r>
      <w:r>
        <w:rPr>
          <w:rStyle w:val="NormalTok"/>
        </w:rPr>
        <w:t xml:space="preserve"> reanalysis_degrees_of_freedom_1,</w:t>
      </w:r>
      <w:r>
        <w:br/>
      </w:r>
      <w:r>
        <w:rPr>
          <w:rStyle w:val="NormalTok"/>
        </w:rPr>
        <w:t xml:space="preserve">    </w:t>
      </w:r>
      <w:r>
        <w:rPr>
          <w:rStyle w:val="AttributeTok"/>
        </w:rPr>
        <w:t xml:space="preserve">y_lab =</w:t>
      </w:r>
      <w:r>
        <w:rPr>
          <w:rStyle w:val="NormalTok"/>
        </w:rPr>
        <w:t xml:space="preserve"> </w:t>
      </w:r>
      <w:r>
        <w:rPr>
          <w:rStyle w:val="StringTok"/>
        </w:rPr>
        <w:t xml:space="preserve">"Log10 degrees of freedom"</w:t>
      </w:r>
      <w:r>
        <w:rPr>
          <w:rStyle w:val="NormalTok"/>
        </w:rPr>
        <w:t xml:space="preserve">,</w:t>
      </w:r>
      <w:r>
        <w:br/>
      </w:r>
      <w:r>
        <w:rPr>
          <w:rStyle w:val="NormalTok"/>
        </w:rPr>
        <w:t xml:space="preserve">    </w:t>
      </w:r>
      <w:r>
        <w:rPr>
          <w:rStyle w:val="AttributeTok"/>
        </w:rPr>
        <w:t xml:space="preserve">x_lab =</w:t>
      </w:r>
      <w:r>
        <w:rPr>
          <w:rStyle w:val="NormalTok"/>
        </w:rPr>
        <w:t xml:space="preserve"> </w:t>
      </w:r>
      <w:r>
        <w:rPr>
          <w:rStyle w:val="StringTok"/>
        </w:rPr>
        <w:t xml:space="preserve">"Is the re-analysis effect size</w:t>
      </w:r>
      <w:r>
        <w:rPr>
          <w:rStyle w:val="SpecialCharTok"/>
        </w:rPr>
        <w:t xml:space="preserve">\n</w:t>
      </w:r>
      <w:r>
        <w:rPr>
          <w:rStyle w:val="StringTok"/>
        </w:rPr>
        <w:t xml:space="preserve">within the tolerance region?"</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coord_flip</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"figures_barna/effect_region_df_plot.jpg"</w:t>
      </w:r>
      <w:r>
        <w:rPr>
          <w:rStyle w:val="NormalTok"/>
        </w:rPr>
        <w:t xml:space="preserve">), df_region_plot,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df_region_plot</w:t>
      </w:r>
    </w:p>
    <w:p>
      <w:pPr>
        <w:pStyle w:val="FirstParagraph"/>
      </w:pPr>
      <w:r>
        <w:drawing>
          <wp:inline>
            <wp:extent cx="4620126" cy="3696101"/>
            <wp:effectExtent b="0" l="0" r="0" t="0"/>
            <wp:docPr descr="" title="" id="166" name="Picture"/>
            <a:graphic>
              <a:graphicData uri="http://schemas.openxmlformats.org/drawingml/2006/picture">
                <pic:pic>
                  <pic:nvPicPr>
                    <pic:cNvPr descr="multi100_results_files/figure-docx/unnamed-chunk-86-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bookmarkEnd w:id="168"/>
    <w:bookmarkEnd w:id="169"/>
    <w:bookmarkStart w:id="174" w:name="additional-analyses"/>
    <w:p>
      <w:pPr>
        <w:pStyle w:val="Heading4"/>
      </w:pPr>
      <w:r>
        <w:t xml:space="preserve">Additional analyses</w:t>
      </w:r>
    </w:p>
    <w:p>
      <w:pPr>
        <w:pStyle w:val="FirstParagraph"/>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Kümpel &amp; Hoffmann (2022) proposed a formal definition of generalized marginal effects (gMEs) which measure is comparable across different statistical models. When standardized, the value of gMEs is equal to the value of Cohen’s d where the latter effect size measure is strictly applicable. Since we had not originally planned to calculate standardized gMEs, we did not collect all required analysis outputs to compute them. As a result, we calculated gMEs only for a sub-sample of the 100 studies. See</w:t>
      </w:r>
      <w:r>
        <w:t xml:space="preserve"> </w:t>
      </w:r>
      <w:hyperlink w:anchor="fig-gme">
        <w:r>
          <w:rPr>
            <w:rStyle w:val="Hyperlink"/>
          </w:rPr>
          <w:t xml:space="preserve">Figure 30</w:t>
        </w:r>
      </w:hyperlink>
      <w:r>
        <w:t xml:space="preserve"> </w:t>
      </w:r>
      <w:r>
        <w:t xml:space="preserve">for the results of the gME calculation for our sub-sample of studies.</w:t>
      </w:r>
    </w:p>
    <w:tbl>
      <w:tblPr>
        <w:tblStyle w:val="Table"/>
        <w:tblW w:type="pct" w:w="5000"/>
        <w:tblLook w:firstRow="0" w:lastRow="0" w:firstColumn="0" w:lastColumn="0" w:noHBand="0" w:noVBand="0" w:val="0000"/>
        <w:jc w:val="start"/>
      </w:tblPr>
      <w:tblGrid>
        <w:gridCol w:w="7920"/>
      </w:tblGrid>
      <w:tr>
        <w:tc>
          <w:tcPr/>
          <w:bookmarkStart w:id="173" w:name="fig-gme"/>
          <w:p>
            <w:pPr>
              <w:jc w:val="center"/>
            </w:pPr>
            <w:r>
              <w:drawing>
                <wp:inline>
                  <wp:extent cx="5334000" cy="8001000"/>
                  <wp:effectExtent b="0" l="0" r="0" t="0"/>
                  <wp:docPr descr="" title="" id="171" name="Picture"/>
                  <a:graphic>
                    <a:graphicData uri="http://schemas.openxmlformats.org/drawingml/2006/picture">
                      <pic:pic>
                        <pic:nvPicPr>
                          <pic:cNvPr descr="../generalized%20Marginal%20Effects/gMEs.png" id="172" name="Picture"/>
                          <pic:cNvPicPr>
                            <a:picLocks noChangeArrowheads="1" noChangeAspect="1"/>
                          </pic:cNvPicPr>
                        </pic:nvPicPr>
                        <pic:blipFill>
                          <a:blip r:embed="rId170"/>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30: For each original and re-analysis of papers 22, 40, 63, and 75, this figure shows a forest-density plot of non-standardized gME values as defined by Kümpel &amp; Hoffmann (2022). Specifically, the black dots give the point estimates of the average change in target expectation attributed to the regressor of interest by each analysis, while the thicker and thinner lines visualize the 0.66 and 0.95 quantiles of the corresponding densities. Study numbers correspond to studies listed in Table S1.</w:t>
            </w:r>
          </w:p>
          <w:bookmarkEnd w:id="173"/>
        </w:tc>
      </w:tr>
    </w:tbl>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80" Target="media/rId80.png"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110" Target="media/rId110.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76" Target="media/rId76.png" /><Relationship Type="http://schemas.openxmlformats.org/officeDocument/2006/relationships/image" Id="rId115" Target="media/rId115.png" /><Relationship Type="http://schemas.openxmlformats.org/officeDocument/2006/relationships/image" Id="rId122" Target="media/rId122.png" /><Relationship Type="http://schemas.openxmlformats.org/officeDocument/2006/relationships/image" Id="rId132" Target="media/rId132.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41" Target="media/rId141.png" /><Relationship Type="http://schemas.openxmlformats.org/officeDocument/2006/relationships/image" Id="rId136" Target="media/rId136.png" /><Relationship Type="http://schemas.openxmlformats.org/officeDocument/2006/relationships/image" Id="rId145" Target="media/rId14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161" Target="media/rId16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46" Target="media/rId46.png" /><Relationship Type="http://schemas.openxmlformats.org/officeDocument/2006/relationships/image" Id="rId119" Target="media/rId119.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65" Target="media/rId1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Results_barna</dc:title>
  <dc:creator/>
  <cp:keywords/>
  <dcterms:created xsi:type="dcterms:W3CDTF">2024-04-29T16:00:28Z</dcterms:created>
  <dcterms:modified xsi:type="dcterms:W3CDTF">2024-04-29T16:00:28Z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