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review</w:t>
      </w:r>
    </w:p>
    <w:p>
      <w:r>
        <w:t>Review the event sequence and supporting evidence before preparing the customer incident recap. Timestamps use UTC; the evidence column distinguishes observed behavior from response activity.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at_utc</w:t>
            </w:r>
          </w:p>
        </w:tc>
        <w:tc>
          <w:tcPr>
            <w:tcW w:type="dxa" w:w="2592"/>
          </w:tcPr>
          <w:p>
            <w:r>
              <w:t>event</w:t>
            </w:r>
          </w:p>
        </w:tc>
        <w:tc>
          <w:tcPr>
            <w:tcW w:type="dxa" w:w="2592"/>
          </w:tcPr>
          <w:p>
            <w:r>
              <w:t>evidence</w:t>
            </w:r>
          </w:p>
        </w:tc>
        <w:tc>
          <w:tcPr>
            <w:tcW w:type="dxa" w:w="2592"/>
          </w:tcPr>
          <w:p>
            <w:r>
              <w:t>owner</w:t>
            </w:r>
          </w:p>
        </w:tc>
      </w:tr>
      <w:tr>
        <w:tc>
          <w:tcPr>
            <w:tcW w:type="dxa" w:w="2592"/>
          </w:tcPr>
          <w:p>
            <w:r>
              <w:t>2026-01-01T09:00:00Z</w:t>
            </w:r>
          </w:p>
        </w:tc>
        <w:tc>
          <w:tcPr>
            <w:tcW w:type="dxa" w:w="2592"/>
          </w:tcPr>
          <w:p>
            <w:r>
              <w:t>Example event</w:t>
            </w:r>
          </w:p>
        </w:tc>
        <w:tc>
          <w:tcPr>
            <w:tcW w:type="dxa" w:w="2592"/>
          </w:tcPr>
          <w:p>
            <w:r>
              <w:t>Evidence recorded by the response team</w:t>
            </w:r>
          </w:p>
        </w:tc>
        <w:tc>
          <w:tcPr>
            <w:tcW w:type="dxa" w:w="2592"/>
          </w:tcPr>
          <w:p>
            <w:r>
              <w:t>Response lead</w:t>
            </w:r>
          </w:p>
        </w:tc>
      </w:tr>
    </w:tbl>
    <w:p>
      <w:pPr>
        <w:pStyle w:val="Heading1"/>
      </w:pPr>
      <w:r>
        <w:t>Editorial handoff</w:t>
      </w:r>
    </w:p>
    <w:p>
      <w:r>
        <w:t>Preserve event order, UTC timestamps, customer impact, recovery evidence and follow-up owners. Calculate customer impact duration from the first observed failure through verified recovery.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