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review</w:t>
      </w:r>
    </w:p>
    <w:p>
      <w:r>
        <w:t>Review the event sequence and supporting evidence before preparing the customer incident recap. Timestamps use UTC; the evidence column distinguishes observed behavior from response activity.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at_utc</w:t>
            </w:r>
          </w:p>
        </w:tc>
        <w:tc>
          <w:tcPr>
            <w:tcW w:type="dxa" w:w="2592"/>
          </w:tcPr>
          <w:p>
            <w:r>
              <w:t>event</w:t>
            </w:r>
          </w:p>
        </w:tc>
        <w:tc>
          <w:tcPr>
            <w:tcW w:type="dxa" w:w="2592"/>
          </w:tcPr>
          <w:p>
            <w:r>
              <w:t>evidence</w:t>
            </w:r>
          </w:p>
        </w:tc>
        <w:tc>
          <w:tcPr>
            <w:tcW w:type="dxa" w:w="2592"/>
          </w:tcPr>
          <w:p>
            <w:r>
              <w:t>owner</w:t>
            </w:r>
          </w:p>
        </w:tc>
      </w:tr>
      <w:tr>
        <w:tc>
          <w:tcPr>
            <w:tcW w:type="dxa" w:w="2592"/>
          </w:tcPr>
          <w:p>
            <w:r>
              <w:t>2026-01-01T09:00:00Z</w:t>
            </w:r>
          </w:p>
        </w:tc>
        <w:tc>
          <w:tcPr>
            <w:tcW w:type="dxa" w:w="2592"/>
          </w:tcPr>
          <w:p>
            <w:r>
              <w:t>Example event</w:t>
            </w:r>
          </w:p>
        </w:tc>
        <w:tc>
          <w:tcPr>
            <w:tcW w:type="dxa" w:w="2592"/>
          </w:tcPr>
          <w:p>
            <w:r>
              <w:t>Evidence recorded by the response team</w:t>
            </w:r>
          </w:p>
        </w:tc>
        <w:tc>
          <w:tcPr>
            <w:tcW w:type="dxa" w:w="2592"/>
          </w:tcPr>
          <w:p>
            <w:r>
              <w:t>Response lead</w:t>
            </w:r>
          </w:p>
        </w:tc>
      </w:tr>
    </w:tbl>
    <w:p>
      <w:pPr>
        <w:pStyle w:val="Heading1"/>
      </w:pPr>
      <w:r>
        <w:t>Editorial handoff</w:t>
      </w:r>
    </w:p>
    <w:p>
      <w:r>
        <w:t>Preserve event order, UTC timestamps, customer impact, recovery evidence and follow-up owners. Calculate customer impact duration from the first observed failure through verified recovery.</w:t>
        <w:br/>
        <w:br/>
        <w:t>Use the response team's adjacent engineering diagnostics alongside the selected incident timeline. Carry concrete request identifiers and diagnostic details into the review document so the recap writer can tie each statement to the troubleshooting record.</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