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t>Incident review</ns0:t>
      </ns0:r>
    </ns0:p>
    <ns0:p>
      <ns0:r>
        <ns0:t>Review the event sequence and supporting evidence before preparing the customer incident recap. Timestamps use UTC; the evidence column distinguishes observed behavior from response activity.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592"/>
        <ns0:gridCol ns0:w="2592"/>
        <ns0:gridCol ns0:w="2592"/>
        <ns0:gridCol ns0:w="2592"/>
      </ns0:tblGrid>
      <ns0:tr>
        <ns0:tc>
          <ns0:tcPr>
            <ns0:tcW ns0:type="dxa" ns0:w="2592"/>
          </ns0:tcPr>
          <ns0:p>
            <ns0:r>
              <ns0:t>at_utc</ns0:t>
            </ns0:r>
          </ns0:p>
        </ns0:tc>
        <ns0:tc>
          <ns0:tcPr>
            <ns0:tcW ns0:type="dxa" ns0:w="2592"/>
          </ns0:tcPr>
          <ns0:p>
            <ns0:r>
              <ns0:t>event</ns0:t>
            </ns0:r>
          </ns0:p>
        </ns0:tc>
        <ns0:tc>
          <ns0:tcPr>
            <ns0:tcW ns0:type="dxa" ns0:w="2592"/>
          </ns0:tcPr>
          <ns0:p>
            <ns0:r>
              <ns0:t>evidence</ns0:t>
            </ns0:r>
          </ns0:p>
        </ns0:tc>
        <ns0:tc>
          <ns0:tcPr>
            <ns0:tcW ns0:type="dxa" ns0:w="2592"/>
          </ns0:tcPr>
          <ns0:p>
            <ns0:r>
              <ns0:t>owner</ns0:t>
            </ns0:r>
          </ns0:p>
        </ns0:tc>
      </ns0:tr>
      <ns0:tr>
        <ns0:tc>
          <ns0:tcPr>
            <ns0:tcW ns0:type="dxa" ns0:w="2592"/>
          </ns0:tcPr>
          <ns0:p>
            <ns0:r>
              <ns0:t>2026-01-01T09:00:00Z</ns0:t>
            </ns0:r>
          </ns0:p>
        </ns0:tc>
        <ns0:tc>
          <ns0:tcPr>
            <ns0:tcW ns0:type="dxa" ns0:w="2592"/>
          </ns0:tcPr>
          <ns0:p>
            <ns0:r>
              <ns0:t>Example event</ns0:t>
            </ns0:r>
          </ns0:p>
        </ns0:tc>
        <ns0:tc>
          <ns0:tcPr>
            <ns0:tcW ns0:type="dxa" ns0:w="2592"/>
          </ns0:tcPr>
          <ns0:p>
            <ns0:r>
              <ns0:t>Evidence recorded by the response team</ns0:t>
            </ns0:r>
          </ns0:p>
        </ns0:tc>
        <ns0:tc>
          <ns0:tcPr>
            <ns0:tcW ns0:type="dxa" ns0:w="2592"/>
          </ns0:tcPr>
          <ns0:p>
            <ns0:r>
              <ns0:t>Response lead</ns0:t>
            </ns0:r>
          </ns0:p>
        </ns0:tc>
      </ns0:tr>
    </ns0:tbl>
    <ns0:p>
      <ns0:pPr>
        <ns0:pStyle ns0:val="Heading1"/>
      </ns0:pPr>
      <ns0:r>
        <ns0:t>Editorial handoff</ns0:t>
      </ns0:r>
    </ns0:p>
    <ns0:p>
      <ns0:r>
        <ns0:t>Preserve event order, UTC timestamps, customer impact, recovery evidence and follow-up owners. Calculate customer impact duration from the first observed failure through verified recovery.</ns0:t>
      </ns0:r>
    </ns0:p>
    <ns0:p>
      <ns0:r>
        <ns0:t>Reconcile the saved timeline and working analysis against the following recovery check. Retain the check as factual evidence in the DOCX review and align the 09:20 event description with it; preserve raw source logs: Recovery reconciliation: the 09:20 UTC successful probe marks sustained customer recovery; the three failing requests were stale pre-recovery observations. The 09:35 entry confirms the earlier recovery rather than extending customer impact. Reconciled customer impact interval: 09:00–09:20 UTC, 20 minutes.</ns0:t>
      </ns0:r>
    </ns0:p>
    <ns0:sectPr ns0:rsidR="00FC693F" ns0:rsidRPr="0006063C" ns0:rsidSect="00034616">
      <ns0:pgSz ns0:w="12240" ns0:h="15840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