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review</w:t>
      </w:r>
    </w:p>
    <w:p>
      <w:r>
        <w:t>Review the event sequence and supporting evidence before preparing the customer incident recap. Timestamps use UTC; the evidence column distinguishes observed behavior from response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at_utc</w:t>
            </w:r>
          </w:p>
        </w:tc>
        <w:tc>
          <w:tcPr>
            <w:tcW w:type="dxa" w:w="2592"/>
          </w:tcPr>
          <w:p>
            <w:r>
              <w:t>event</w:t>
            </w:r>
          </w:p>
        </w:tc>
        <w:tc>
          <w:tcPr>
            <w:tcW w:type="dxa" w:w="2592"/>
          </w:tcPr>
          <w:p>
            <w:r>
              <w:t>evidence</w:t>
            </w:r>
          </w:p>
        </w:tc>
        <w:tc>
          <w:tcPr>
            <w:tcW w:type="dxa" w:w="2592"/>
          </w:tcPr>
          <w:p>
            <w:r>
              <w:t>owner</w:t>
            </w:r>
          </w:p>
        </w:tc>
      </w:tr>
      <w:tr>
        <w:tc>
          <w:tcPr>
            <w:tcW w:type="dxa" w:w="2592"/>
          </w:tcPr>
          <w:p>
            <w:r>
              <w:t>2026-01-01T09:00:00Z</w:t>
            </w:r>
          </w:p>
        </w:tc>
        <w:tc>
          <w:tcPr>
            <w:tcW w:type="dxa" w:w="2592"/>
          </w:tcPr>
          <w:p>
            <w:r>
              <w:t>Example event</w:t>
            </w:r>
          </w:p>
        </w:tc>
        <w:tc>
          <w:tcPr>
            <w:tcW w:type="dxa" w:w="2592"/>
          </w:tcPr>
          <w:p>
            <w:r>
              <w:t>Evidence recorded by the response team</w:t>
            </w:r>
          </w:p>
        </w:tc>
        <w:tc>
          <w:tcPr>
            <w:tcW w:type="dxa" w:w="2592"/>
          </w:tcPr>
          <w:p>
            <w:r>
              <w:t>Response lead</w:t>
            </w:r>
          </w:p>
        </w:tc>
      </w:tr>
    </w:tbl>
    <w:p>
      <w:pPr>
        <w:pStyle w:val="Heading1"/>
      </w:pPr>
      <w:r>
        <w:t>Editorial handoff</w:t>
      </w:r>
    </w:p>
    <w:p>
      <w:r>
        <w:t>Preserve event order, UTC timestamps, customer impact, recovery evidence and follow-up owners. Calculate customer impact duration from the first observed failure through verified recovery.</w:t>
        <w:br/>
        <w:br/>
        <w:t>The communications review has finalized a customer-impact window of 09:20 to 09:35 UTC, lasting 15 minutes. Use this window in the customer recap and its impact summary. Treat the 09:00 to 09:20 interval as pre-impact monitoring rather than customer disruption, while leaving the original event record intact.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