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Contract clause review</w:t>
      </w:r>
    </w:p>
    <w:p>
      <w:r>
        <w:t>Use this working review to carry the current language, proposed revision and reason into the next drafting task. Each row represents one contractual issue requiring a response.</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clause</w:t>
            </w:r>
          </w:p>
        </w:tc>
        <w:tc>
          <w:tcPr>
            <w:tcW w:type="dxa" w:w="2592"/>
          </w:tcPr>
          <w:p>
            <w:r>
              <w:t>current</w:t>
            </w:r>
          </w:p>
        </w:tc>
        <w:tc>
          <w:tcPr>
            <w:tcW w:type="dxa" w:w="2592"/>
          </w:tcPr>
          <w:p>
            <w:r>
              <w:t>proposed</w:t>
            </w:r>
          </w:p>
        </w:tc>
        <w:tc>
          <w:tcPr>
            <w:tcW w:type="dxa" w:w="2592"/>
          </w:tcPr>
          <w:p>
            <w:r>
              <w:t>reason</w:t>
            </w:r>
          </w:p>
        </w:tc>
      </w:tr>
      <w:tr>
        <w:tc>
          <w:tcPr>
            <w:tcW w:type="dxa" w:w="2592"/>
          </w:tcPr>
          <w:p>
            <w:r>
              <w:t>Example clause</w:t>
            </w:r>
          </w:p>
        </w:tc>
        <w:tc>
          <w:tcPr>
            <w:tcW w:type="dxa" w:w="2592"/>
          </w:tcPr>
          <w:p>
            <w:r>
              <w:t>Current agreement text</w:t>
            </w:r>
          </w:p>
        </w:tc>
        <w:tc>
          <w:tcPr>
            <w:tcW w:type="dxa" w:w="2592"/>
          </w:tcPr>
          <w:p>
            <w:r>
              <w:t>Proposed replacement</w:t>
            </w:r>
          </w:p>
        </w:tc>
        <w:tc>
          <w:tcPr>
            <w:tcW w:type="dxa" w:w="2592"/>
          </w:tcPr>
          <w:p>
            <w:r>
              <w:t>Business rationale</w:t>
            </w:r>
          </w:p>
        </w:tc>
      </w:tr>
    </w:tbl>
    <w:p>
      <w:pPr>
        <w:pStyle w:val="Heading1"/>
      </w:pPr>
      <w:r>
        <w:t>Editorial handoff</w:t>
      </w:r>
    </w:p>
    <w:p>
      <w:r>
        <w:t>Carry forward each clause, current wording, proposed replacement and business rationale into the document for counsel's review. Keep the draft status visible. The liability item has been resolved in a separate counsel discussion. When preparing the counterparty document, omit the Liability row and its proposed liability cap from the revisions offered to the vendor. Keep it in the internal review record for continuity; complete the remaining clause revisions normally.</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