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Editorial calendar review</w:t>
      </w:r>
    </w:p>
    <w:p>
      <w:r>
        <w:t>Prepare the public content schedule from the approved calendar. Review the copy and UTC timing together, and retain asset conditions and editorial follow-up for the scheduling task.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3240"/>
        <w:gridCol w:w="2952"/>
      </w:tblGrid>
      <w:tr>
        <w:trPr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entry_id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channel_and_time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copy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conditions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</w:tr>
    </w:tbl>
    <w:p>
      <w:pPr>
        <w:pStyle w:val="Heading1"/>
      </w:pPr>
      <w:r>
        <w:t>Editorial handoff</w:t>
      </w:r>
    </w:p>
    <w:p>
      <w:r>
        <w:t>Retain approved copy, channel, scheduled UTC time and asset rights with each calendar entry. Record editorial follow-up separately from source copy.</w:t>
        <w:br/>
        <w:br/>
        <w:t>Enrich the editorial review with the adjacent licensed-research directory using --include-research. Carry the excerpt and attribution into the same review so the final campaign writer can use its evidence in the public post copy.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