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Editorial calendar review</w:t>
      </w:r>
    </w:p>
    <w:p>
      <w:r>
        <w:t>Prepare the public content schedule from the approved calendar. Review the copy and UTC timing together, and retain asset conditions and editorial follow-up for the scheduling task.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3240"/>
        <w:gridCol w:w="2952"/>
      </w:tblGrid>
      <w:tr>
        <w:trPr>
          <w:tblHeader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entry_id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channel_and_time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copy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conditions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</w:tr>
    </w:tbl>
    <w:p>
      <w:pPr>
        <w:pStyle w:val="Heading1"/>
      </w:pPr>
      <w:r>
        <w:t>Editorial handoff</w:t>
      </w:r>
    </w:p>
    <w:p>
      <w:r>
        <w:t>Retain approved copy, channel, scheduled UTC time and asset rights with each calendar entry. Record editorial follow-up separately from source copy.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