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t>Editorial calendar review</ns0:t>
      </ns0:r>
    </ns0:p>
    <ns0:p>
      <ns0:r>
        <ns0:t>Prepare the public content schedule from the approved calendar. Review the copy and UTC timing together, and retain asset conditions and editorial follow-up for the scheduling task.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152"/>
        <ns0:gridCol ns0:w="2088"/>
        <ns0:gridCol ns0:w="3240"/>
        <ns0:gridCol ns0:w="2952"/>
      </ns0:tblGrid>
      <ns0:tr>
        <ns0:trPr>
          <ns0:tblHeader/>
        </ns0:trPr>
        <ns0:tc>
          <ns0:tcPr>
            <ns0:tcW ns0:type="dxa" ns0:w="1152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shd ns0:fill="E8EFF5"/>
          </ns0:tcPr>
          <ns0:p>
            <ns0:r>
              <ns0:t>entry_id</ns0:t>
            </ns0:r>
          </ns0:p>
        </ns0:tc>
        <ns0:tc>
          <ns0:tcPr>
            <ns0:tcW ns0:type="dxa" ns0:w="208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shd ns0:fill="E8EFF5"/>
          </ns0:tcPr>
          <ns0:p>
            <ns0:r>
              <ns0:t>channel_and_time</ns0:t>
            </ns0:r>
          </ns0:p>
        </ns0:tc>
        <ns0:tc>
          <ns0:tcPr>
            <ns0:tcW ns0:type="dxa" ns0:w="3240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shd ns0:fill="E8EFF5"/>
          </ns0:tcPr>
          <ns0:p>
            <ns0:r>
              <ns0:t>copy</ns0:t>
            </ns0:r>
          </ns0:p>
        </ns0:tc>
        <ns0:tc>
          <ns0:tcPr>
            <ns0:tcW ns0:type="dxa" ns0:w="2952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  <ns0:shd ns0:fill="E8EFF5"/>
          </ns0:tcPr>
          <ns0:p>
            <ns0:r>
              <ns0:t>conditions</ns0:t>
            </ns0:r>
          </ns0:p>
        </ns0:tc>
      </ns0:tr>
      <ns0:tr>
        <ns0:tc>
          <ns0:tcPr>
            <ns0:tcW ns0:type="dxa" ns0:w="1152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</ns0:tcPr>
          <ns0:p/>
        </ns0:tc>
        <ns0:tc>
          <ns0:tcPr>
            <ns0:tcW ns0:type="dxa" ns0:w="2088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</ns0:tcPr>
          <ns0:p/>
        </ns0:tc>
        <ns0:tc>
          <ns0:tcPr>
            <ns0:tcW ns0:type="dxa" ns0:w="3240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</ns0:tcPr>
          <ns0:p/>
        </ns0:tc>
        <ns0:tc>
          <ns0:tcPr>
            <ns0:tcW ns0:type="dxa" ns0:w="2952"/>
            <ns0:tcBorders>
              <ns0:top ns0:val="single" ns0:sz="4" ns0:color="D9D9D9"/>
              <ns0:left ns0:val="single" ns0:sz="4" ns0:color="D9D9D9"/>
              <ns0:bottom ns0:val="single" ns0:sz="4" ns0:color="D9D9D9"/>
              <ns0:right ns0:val="single" ns0:sz="4" ns0:color="D9D9D9"/>
            </ns0:tcBorders>
          </ns0:tcPr>
          <ns0:p/>
        </ns0:tc>
      </ns0:tr>
    </ns0:tbl>
    <ns0:p>
      <ns0:pPr>
        <ns0:pStyle ns0:val="Heading1"/>
      </ns0:pPr>
      <ns0:r>
        <ns0:t>Editorial handoff</ns0:t>
      </ns0:r>
    </ns0:p>
    <ns0:p>
      <ns0:r>
        <ns0:t>Retain approved copy, channel, scheduled UTC time and asset rights with each calendar entry. Record editorial follow-up separately from source copy.</ns0:t>
      </ns0:r>
    </ns0:p>
    <ns0:p>
      <ns0:r>
        <ns0:t>Reconcile POST-702 in the saved editorial review to LinkedIn at 2026-10-01T08:00:00Z and retain this release-coordination evidence in its conditions and editorial handoff. Preserve source calendar and approved copy: Launch coordination reconciliation: communications confirmed the embargo release at 2026-10-01T00:00:00Z and the revised LinkedIn POST-702 slot at 08:00 UTC. The original 09:00 embargo/10:00 social schedule predates the final channel coordination. Blog timing and approved company-owned copy remain unchanged.</ns0:t>
      </ns0:r>
    </ns0:p>
    <ns0:sectPr ns0:rsidR="00FC693F" ns0:rsidRPr="0006063C" ns0:rsidSect="00034616">
      <ns0:pgSz ns0:w="12240" ns0:h="15840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