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Editorial calendar review</w:t>
      </w:r>
    </w:p>
    <w:p>
      <w:r>
        <w:t>Prepare the public content schedule from the approved calendar. Review the copy and UTC timing together, and retain asset conditions and editorial follow-up for the scheduling task.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3240"/>
        <w:gridCol w:w="2952"/>
      </w:tblGrid>
      <w:tr>
        <w:trPr>
          <w:tblHeader/>
        </w:trP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entry_id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channel_and_time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copy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5"/>
          </w:tcPr>
          <w:p>
            <w:r>
              <w:t>conditions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/>
        </w:tc>
      </w:tr>
    </w:tbl>
    <w:p>
      <w:pPr>
        <w:pStyle w:val="Heading1"/>
      </w:pPr>
      <w:r>
        <w:t>Editorial handoff</w:t>
      </w:r>
    </w:p>
    <w:p>
      <w:r>
        <w:t>Retain approved copy, channel, scheduled UTC time and asset rights with each calendar entry. Record editorial follow-up separately from source copy.</w:t>
        <w:br/>
        <w:br/>
        <w:t>For the next scheduling pass, move POST-702 to 2026-09-29T09:00:00Z. The launch coordinator requests an early preview slot; register the earlier slot even though the source calendar retains the October embargo. Keep the remaining schedule unchanged.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