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502" w:rsidRPr="0078671B" w:rsidRDefault="000101D0" w:rsidP="007F3502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2</w:t>
      </w:r>
    </w:p>
    <w:tbl>
      <w:tblPr>
        <w:tblW w:w="7763" w:type="dxa"/>
        <w:tblLook w:val="04A0" w:firstRow="1" w:lastRow="0" w:firstColumn="1" w:lastColumn="0" w:noHBand="0" w:noVBand="1"/>
      </w:tblPr>
      <w:tblGrid>
        <w:gridCol w:w="2938"/>
        <w:gridCol w:w="796"/>
        <w:gridCol w:w="796"/>
        <w:gridCol w:w="836"/>
        <w:gridCol w:w="230"/>
        <w:gridCol w:w="836"/>
        <w:gridCol w:w="1331"/>
      </w:tblGrid>
      <w:tr w:rsidR="007F3502" w:rsidRPr="0078671B" w:rsidTr="009B0FC5">
        <w:trPr>
          <w:trHeight w:val="300"/>
        </w:trPr>
        <w:tc>
          <w:tcPr>
            <w:tcW w:w="293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F3502" w:rsidRPr="0078671B" w:rsidRDefault="007F3502" w:rsidP="009B0F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Behavioral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measure</w:t>
            </w:r>
          </w:p>
        </w:tc>
        <w:tc>
          <w:tcPr>
            <w:tcW w:w="242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F3502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Kaiser’s criterion</w:t>
            </w:r>
          </w:p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0" w:type="dxa"/>
            <w:tcBorders>
              <w:top w:val="single" w:sz="4" w:space="0" w:color="auto"/>
            </w:tcBorders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Parallel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r w:rsidRPr="00A96308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b</w:t>
            </w:r>
            <w:r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,c</w:t>
            </w:r>
            <w:proofErr w:type="spellEnd"/>
          </w:p>
        </w:tc>
      </w:tr>
      <w:tr w:rsidR="007F3502" w:rsidRPr="0078671B" w:rsidTr="009B0FC5">
        <w:trPr>
          <w:trHeight w:val="319"/>
        </w:trPr>
        <w:tc>
          <w:tcPr>
            <w:tcW w:w="2938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color w:val="000000"/>
                <w:sz w:val="24"/>
                <w:szCs w:val="24"/>
              </w:rPr>
              <w:t>PC1</w:t>
            </w:r>
          </w:p>
        </w:tc>
        <w:tc>
          <w:tcPr>
            <w:tcW w:w="7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color w:val="000000"/>
                <w:sz w:val="24"/>
                <w:szCs w:val="24"/>
              </w:rPr>
              <w:t>PC2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color w:val="000000"/>
                <w:sz w:val="24"/>
                <w:szCs w:val="24"/>
              </w:rPr>
              <w:t>PC3</w:t>
            </w:r>
          </w:p>
        </w:tc>
        <w:tc>
          <w:tcPr>
            <w:tcW w:w="230" w:type="dxa"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color w:val="000000"/>
                <w:sz w:val="24"/>
                <w:szCs w:val="24"/>
              </w:rPr>
              <w:t>PC1</w:t>
            </w:r>
          </w:p>
        </w:tc>
        <w:tc>
          <w:tcPr>
            <w:tcW w:w="1331" w:type="dxa"/>
            <w:tcBorders>
              <w:top w:val="single" w:sz="4" w:space="0" w:color="auto"/>
              <w:bottom w:val="single" w:sz="4" w:space="0" w:color="auto"/>
            </w:tcBorders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color w:val="000000"/>
                <w:sz w:val="24"/>
                <w:szCs w:val="24"/>
              </w:rPr>
              <w:t>PC2</w:t>
            </w:r>
          </w:p>
        </w:tc>
      </w:tr>
      <w:tr w:rsidR="007F3502" w:rsidRPr="0078671B" w:rsidTr="009B0FC5">
        <w:trPr>
          <w:trHeight w:val="319"/>
        </w:trPr>
        <w:tc>
          <w:tcPr>
            <w:tcW w:w="2938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7F3502" w:rsidRPr="0078671B" w:rsidRDefault="007F3502" w:rsidP="009B0FC5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color w:val="000000"/>
                <w:sz w:val="24"/>
                <w:szCs w:val="24"/>
              </w:rPr>
              <w:t>Spatial Proximity</w:t>
            </w:r>
          </w:p>
        </w:tc>
        <w:tc>
          <w:tcPr>
            <w:tcW w:w="7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b/>
                <w:color w:val="000000"/>
                <w:sz w:val="24"/>
                <w:szCs w:val="24"/>
              </w:rPr>
              <w:t>.863</w:t>
            </w:r>
          </w:p>
        </w:tc>
        <w:tc>
          <w:tcPr>
            <w:tcW w:w="7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color w:val="000000"/>
                <w:sz w:val="24"/>
                <w:szCs w:val="24"/>
              </w:rPr>
              <w:t>.274</w:t>
            </w:r>
          </w:p>
        </w:tc>
        <w:tc>
          <w:tcPr>
            <w:tcW w:w="83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color w:val="000000"/>
                <w:sz w:val="24"/>
                <w:szCs w:val="24"/>
              </w:rPr>
              <w:t>.028</w:t>
            </w:r>
          </w:p>
        </w:tc>
        <w:tc>
          <w:tcPr>
            <w:tcW w:w="230" w:type="dxa"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4" w:space="0" w:color="auto"/>
            </w:tcBorders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b/>
                <w:color w:val="000000"/>
                <w:sz w:val="24"/>
                <w:szCs w:val="24"/>
              </w:rPr>
              <w:t>.803</w:t>
            </w:r>
          </w:p>
        </w:tc>
        <w:tc>
          <w:tcPr>
            <w:tcW w:w="1331" w:type="dxa"/>
            <w:tcBorders>
              <w:top w:val="single" w:sz="4" w:space="0" w:color="auto"/>
            </w:tcBorders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color w:val="000000"/>
                <w:sz w:val="24"/>
                <w:szCs w:val="24"/>
              </w:rPr>
              <w:t>-.112</w:t>
            </w:r>
          </w:p>
        </w:tc>
      </w:tr>
      <w:tr w:rsidR="007F3502" w:rsidRPr="0078671B" w:rsidTr="009B0FC5">
        <w:trPr>
          <w:trHeight w:val="319"/>
        </w:trPr>
        <w:tc>
          <w:tcPr>
            <w:tcW w:w="2938" w:type="dxa"/>
            <w:shd w:val="clear" w:color="auto" w:fill="auto"/>
            <w:hideMark/>
          </w:tcPr>
          <w:p w:rsidR="007F3502" w:rsidRPr="0078671B" w:rsidRDefault="007F3502" w:rsidP="009B0FC5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color w:val="000000"/>
                <w:sz w:val="24"/>
                <w:szCs w:val="24"/>
              </w:rPr>
              <w:t>Grooming</w:t>
            </w:r>
          </w:p>
        </w:tc>
        <w:tc>
          <w:tcPr>
            <w:tcW w:w="796" w:type="dxa"/>
            <w:shd w:val="clear" w:color="auto" w:fill="auto"/>
            <w:noWrap/>
            <w:hideMark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b/>
                <w:color w:val="000000"/>
                <w:sz w:val="24"/>
                <w:szCs w:val="24"/>
              </w:rPr>
              <w:t>.806</w:t>
            </w:r>
          </w:p>
        </w:tc>
        <w:tc>
          <w:tcPr>
            <w:tcW w:w="796" w:type="dxa"/>
            <w:shd w:val="clear" w:color="auto" w:fill="auto"/>
            <w:noWrap/>
            <w:hideMark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color w:val="000000"/>
                <w:sz w:val="24"/>
                <w:szCs w:val="24"/>
              </w:rPr>
              <w:t>.285</w:t>
            </w:r>
          </w:p>
        </w:tc>
        <w:tc>
          <w:tcPr>
            <w:tcW w:w="836" w:type="dxa"/>
            <w:shd w:val="clear" w:color="auto" w:fill="auto"/>
            <w:noWrap/>
            <w:hideMark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color w:val="000000"/>
                <w:sz w:val="24"/>
                <w:szCs w:val="24"/>
              </w:rPr>
              <w:t>.050</w:t>
            </w:r>
          </w:p>
        </w:tc>
        <w:tc>
          <w:tcPr>
            <w:tcW w:w="230" w:type="dxa"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36" w:type="dxa"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b/>
                <w:color w:val="000000"/>
                <w:sz w:val="24"/>
                <w:szCs w:val="24"/>
              </w:rPr>
              <w:t>.772</w:t>
            </w:r>
          </w:p>
        </w:tc>
        <w:tc>
          <w:tcPr>
            <w:tcW w:w="1331" w:type="dxa"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color w:val="000000"/>
                <w:sz w:val="24"/>
                <w:szCs w:val="24"/>
              </w:rPr>
              <w:t>-.077</w:t>
            </w:r>
          </w:p>
        </w:tc>
      </w:tr>
      <w:tr w:rsidR="007F3502" w:rsidRPr="0078671B" w:rsidTr="009B0FC5">
        <w:trPr>
          <w:trHeight w:val="319"/>
        </w:trPr>
        <w:tc>
          <w:tcPr>
            <w:tcW w:w="2938" w:type="dxa"/>
            <w:shd w:val="clear" w:color="auto" w:fill="auto"/>
            <w:hideMark/>
          </w:tcPr>
          <w:p w:rsidR="007F3502" w:rsidRPr="0078671B" w:rsidRDefault="007F3502" w:rsidP="009B0FC5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color w:val="000000"/>
                <w:sz w:val="24"/>
                <w:szCs w:val="24"/>
              </w:rPr>
              <w:t>Grooming Symmetry</w:t>
            </w:r>
          </w:p>
        </w:tc>
        <w:tc>
          <w:tcPr>
            <w:tcW w:w="796" w:type="dxa"/>
            <w:shd w:val="clear" w:color="auto" w:fill="auto"/>
            <w:noWrap/>
            <w:hideMark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b/>
                <w:color w:val="000000"/>
                <w:sz w:val="24"/>
                <w:szCs w:val="24"/>
              </w:rPr>
              <w:t>-.743</w:t>
            </w:r>
          </w:p>
        </w:tc>
        <w:tc>
          <w:tcPr>
            <w:tcW w:w="796" w:type="dxa"/>
            <w:shd w:val="clear" w:color="auto" w:fill="auto"/>
            <w:noWrap/>
            <w:hideMark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color w:val="000000"/>
                <w:sz w:val="24"/>
                <w:szCs w:val="24"/>
              </w:rPr>
              <w:t>.099</w:t>
            </w:r>
          </w:p>
        </w:tc>
        <w:tc>
          <w:tcPr>
            <w:tcW w:w="836" w:type="dxa"/>
            <w:shd w:val="clear" w:color="auto" w:fill="auto"/>
            <w:noWrap/>
            <w:hideMark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color w:val="000000"/>
                <w:sz w:val="24"/>
                <w:szCs w:val="24"/>
              </w:rPr>
              <w:t>.168</w:t>
            </w:r>
          </w:p>
        </w:tc>
        <w:tc>
          <w:tcPr>
            <w:tcW w:w="230" w:type="dxa"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36" w:type="dxa"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b/>
                <w:color w:val="000000"/>
                <w:sz w:val="24"/>
                <w:szCs w:val="24"/>
              </w:rPr>
              <w:t>-.450</w:t>
            </w:r>
          </w:p>
        </w:tc>
        <w:tc>
          <w:tcPr>
            <w:tcW w:w="1331" w:type="dxa"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color w:val="000000"/>
                <w:sz w:val="24"/>
                <w:szCs w:val="24"/>
              </w:rPr>
              <w:t>.343</w:t>
            </w:r>
          </w:p>
        </w:tc>
      </w:tr>
      <w:tr w:rsidR="007F3502" w:rsidRPr="0078671B" w:rsidTr="009B0FC5">
        <w:trPr>
          <w:trHeight w:val="319"/>
        </w:trPr>
        <w:tc>
          <w:tcPr>
            <w:tcW w:w="2938" w:type="dxa"/>
            <w:shd w:val="clear" w:color="auto" w:fill="auto"/>
            <w:hideMark/>
          </w:tcPr>
          <w:p w:rsidR="007F3502" w:rsidRPr="0078671B" w:rsidRDefault="007F3502" w:rsidP="009B0FC5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color w:val="000000"/>
                <w:sz w:val="24"/>
                <w:szCs w:val="24"/>
              </w:rPr>
              <w:t>Avoid/Stay Symmetry</w:t>
            </w:r>
          </w:p>
        </w:tc>
        <w:tc>
          <w:tcPr>
            <w:tcW w:w="796" w:type="dxa"/>
            <w:shd w:val="clear" w:color="auto" w:fill="auto"/>
            <w:noWrap/>
            <w:hideMark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color w:val="000000"/>
                <w:sz w:val="24"/>
                <w:szCs w:val="24"/>
              </w:rPr>
              <w:t>.048</w:t>
            </w:r>
          </w:p>
        </w:tc>
        <w:tc>
          <w:tcPr>
            <w:tcW w:w="796" w:type="dxa"/>
            <w:shd w:val="clear" w:color="auto" w:fill="auto"/>
            <w:noWrap/>
            <w:hideMark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b/>
                <w:color w:val="000000"/>
                <w:sz w:val="24"/>
                <w:szCs w:val="24"/>
              </w:rPr>
              <w:t>-.763</w:t>
            </w:r>
          </w:p>
        </w:tc>
        <w:tc>
          <w:tcPr>
            <w:tcW w:w="836" w:type="dxa"/>
            <w:shd w:val="clear" w:color="auto" w:fill="auto"/>
            <w:noWrap/>
            <w:hideMark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color w:val="000000"/>
                <w:sz w:val="24"/>
                <w:szCs w:val="24"/>
              </w:rPr>
              <w:t>-.036</w:t>
            </w:r>
          </w:p>
        </w:tc>
        <w:tc>
          <w:tcPr>
            <w:tcW w:w="230" w:type="dxa"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36" w:type="dxa"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b/>
                <w:color w:val="000000"/>
                <w:sz w:val="24"/>
                <w:szCs w:val="24"/>
              </w:rPr>
              <w:t>-.507</w:t>
            </w:r>
          </w:p>
        </w:tc>
        <w:tc>
          <w:tcPr>
            <w:tcW w:w="1331" w:type="dxa"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color w:val="000000"/>
                <w:sz w:val="24"/>
                <w:szCs w:val="24"/>
              </w:rPr>
              <w:t>-.188</w:t>
            </w:r>
          </w:p>
        </w:tc>
      </w:tr>
      <w:tr w:rsidR="007F3502" w:rsidRPr="0078671B" w:rsidTr="009B0FC5">
        <w:trPr>
          <w:trHeight w:val="319"/>
        </w:trPr>
        <w:tc>
          <w:tcPr>
            <w:tcW w:w="2938" w:type="dxa"/>
            <w:shd w:val="clear" w:color="auto" w:fill="auto"/>
            <w:hideMark/>
          </w:tcPr>
          <w:p w:rsidR="007F3502" w:rsidRPr="0078671B" w:rsidRDefault="007F3502" w:rsidP="009B0FC5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color w:val="000000"/>
                <w:sz w:val="24"/>
                <w:szCs w:val="24"/>
              </w:rPr>
              <w:t>Food Sharing</w:t>
            </w:r>
          </w:p>
        </w:tc>
        <w:tc>
          <w:tcPr>
            <w:tcW w:w="796" w:type="dxa"/>
            <w:shd w:val="clear" w:color="auto" w:fill="auto"/>
            <w:noWrap/>
            <w:hideMark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color w:val="000000"/>
                <w:sz w:val="24"/>
                <w:szCs w:val="24"/>
              </w:rPr>
              <w:t>.247</w:t>
            </w:r>
          </w:p>
        </w:tc>
        <w:tc>
          <w:tcPr>
            <w:tcW w:w="796" w:type="dxa"/>
            <w:shd w:val="clear" w:color="auto" w:fill="auto"/>
            <w:noWrap/>
            <w:hideMark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b/>
                <w:color w:val="000000"/>
                <w:sz w:val="24"/>
                <w:szCs w:val="24"/>
              </w:rPr>
              <w:t>.680</w:t>
            </w:r>
          </w:p>
        </w:tc>
        <w:tc>
          <w:tcPr>
            <w:tcW w:w="836" w:type="dxa"/>
            <w:shd w:val="clear" w:color="auto" w:fill="auto"/>
            <w:noWrap/>
            <w:hideMark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color w:val="000000"/>
                <w:sz w:val="24"/>
                <w:szCs w:val="24"/>
              </w:rPr>
              <w:t>-.202</w:t>
            </w:r>
          </w:p>
        </w:tc>
        <w:tc>
          <w:tcPr>
            <w:tcW w:w="230" w:type="dxa"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36" w:type="dxa"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b/>
                <w:color w:val="000000"/>
                <w:sz w:val="24"/>
                <w:szCs w:val="24"/>
              </w:rPr>
              <w:t>.651</w:t>
            </w:r>
          </w:p>
        </w:tc>
        <w:tc>
          <w:tcPr>
            <w:tcW w:w="1331" w:type="dxa"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color w:val="000000"/>
                <w:sz w:val="24"/>
                <w:szCs w:val="24"/>
              </w:rPr>
              <w:t>-.120</w:t>
            </w:r>
          </w:p>
        </w:tc>
      </w:tr>
      <w:tr w:rsidR="007F3502" w:rsidRPr="0078671B" w:rsidTr="009B0FC5">
        <w:trPr>
          <w:trHeight w:val="319"/>
        </w:trPr>
        <w:tc>
          <w:tcPr>
            <w:tcW w:w="2938" w:type="dxa"/>
            <w:shd w:val="clear" w:color="auto" w:fill="auto"/>
            <w:hideMark/>
          </w:tcPr>
          <w:p w:rsidR="007F3502" w:rsidRPr="0078671B" w:rsidRDefault="007F3502" w:rsidP="009B0FC5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color w:val="000000"/>
                <w:sz w:val="24"/>
                <w:szCs w:val="24"/>
              </w:rPr>
              <w:t>Food Sharing Symmetry</w:t>
            </w:r>
          </w:p>
        </w:tc>
        <w:tc>
          <w:tcPr>
            <w:tcW w:w="796" w:type="dxa"/>
            <w:shd w:val="clear" w:color="auto" w:fill="auto"/>
            <w:noWrap/>
            <w:hideMark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color w:val="000000"/>
                <w:sz w:val="24"/>
                <w:szCs w:val="24"/>
              </w:rPr>
              <w:t>.088</w:t>
            </w:r>
          </w:p>
        </w:tc>
        <w:tc>
          <w:tcPr>
            <w:tcW w:w="796" w:type="dxa"/>
            <w:shd w:val="clear" w:color="auto" w:fill="auto"/>
            <w:noWrap/>
            <w:hideMark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b/>
                <w:color w:val="000000"/>
                <w:sz w:val="24"/>
                <w:szCs w:val="24"/>
              </w:rPr>
              <w:t>.658</w:t>
            </w:r>
          </w:p>
        </w:tc>
        <w:tc>
          <w:tcPr>
            <w:tcW w:w="836" w:type="dxa"/>
            <w:shd w:val="clear" w:color="auto" w:fill="auto"/>
            <w:noWrap/>
            <w:hideMark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color w:val="000000"/>
                <w:sz w:val="24"/>
                <w:szCs w:val="24"/>
              </w:rPr>
              <w:t>.175</w:t>
            </w:r>
          </w:p>
        </w:tc>
        <w:tc>
          <w:tcPr>
            <w:tcW w:w="230" w:type="dxa"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36" w:type="dxa"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b/>
                <w:color w:val="000000"/>
                <w:sz w:val="24"/>
                <w:szCs w:val="24"/>
              </w:rPr>
              <w:t>.532</w:t>
            </w:r>
          </w:p>
        </w:tc>
        <w:tc>
          <w:tcPr>
            <w:tcW w:w="1331" w:type="dxa"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color w:val="000000"/>
                <w:sz w:val="24"/>
                <w:szCs w:val="24"/>
              </w:rPr>
              <w:t>.272</w:t>
            </w:r>
          </w:p>
        </w:tc>
      </w:tr>
      <w:tr w:rsidR="007F3502" w:rsidRPr="0078671B" w:rsidTr="009B0FC5">
        <w:trPr>
          <w:trHeight w:val="319"/>
        </w:trPr>
        <w:tc>
          <w:tcPr>
            <w:tcW w:w="2938" w:type="dxa"/>
            <w:shd w:val="clear" w:color="auto" w:fill="auto"/>
            <w:hideMark/>
          </w:tcPr>
          <w:p w:rsidR="007F3502" w:rsidRPr="0078671B" w:rsidRDefault="007F3502" w:rsidP="009B0FC5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color w:val="000000"/>
                <w:sz w:val="24"/>
                <w:szCs w:val="24"/>
              </w:rPr>
              <w:t>Coalitions</w:t>
            </w:r>
          </w:p>
        </w:tc>
        <w:tc>
          <w:tcPr>
            <w:tcW w:w="796" w:type="dxa"/>
            <w:shd w:val="clear" w:color="auto" w:fill="auto"/>
            <w:noWrap/>
            <w:hideMark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b/>
                <w:color w:val="000000"/>
                <w:sz w:val="24"/>
                <w:szCs w:val="24"/>
              </w:rPr>
              <w:t>.434</w:t>
            </w:r>
          </w:p>
        </w:tc>
        <w:tc>
          <w:tcPr>
            <w:tcW w:w="796" w:type="dxa"/>
            <w:shd w:val="clear" w:color="auto" w:fill="auto"/>
            <w:noWrap/>
            <w:hideMark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b/>
                <w:color w:val="000000"/>
                <w:sz w:val="24"/>
                <w:szCs w:val="24"/>
              </w:rPr>
              <w:t>.658</w:t>
            </w:r>
          </w:p>
        </w:tc>
        <w:tc>
          <w:tcPr>
            <w:tcW w:w="836" w:type="dxa"/>
            <w:shd w:val="clear" w:color="auto" w:fill="auto"/>
            <w:noWrap/>
            <w:hideMark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color w:val="000000"/>
                <w:sz w:val="24"/>
                <w:szCs w:val="24"/>
              </w:rPr>
              <w:t>-.064</w:t>
            </w:r>
          </w:p>
        </w:tc>
        <w:tc>
          <w:tcPr>
            <w:tcW w:w="230" w:type="dxa"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36" w:type="dxa"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b/>
                <w:color w:val="000000"/>
                <w:sz w:val="24"/>
                <w:szCs w:val="24"/>
              </w:rPr>
              <w:t>.771</w:t>
            </w:r>
          </w:p>
        </w:tc>
        <w:tc>
          <w:tcPr>
            <w:tcW w:w="1331" w:type="dxa"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color w:val="000000"/>
                <w:sz w:val="24"/>
                <w:szCs w:val="24"/>
              </w:rPr>
              <w:t>-.033</w:t>
            </w:r>
          </w:p>
        </w:tc>
      </w:tr>
      <w:tr w:rsidR="007F3502" w:rsidRPr="0078671B" w:rsidTr="009B0FC5">
        <w:trPr>
          <w:trHeight w:val="319"/>
        </w:trPr>
        <w:tc>
          <w:tcPr>
            <w:tcW w:w="2938" w:type="dxa"/>
            <w:shd w:val="clear" w:color="auto" w:fill="auto"/>
            <w:hideMark/>
          </w:tcPr>
          <w:p w:rsidR="007F3502" w:rsidRPr="0078671B" w:rsidRDefault="007F3502" w:rsidP="009B0FC5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color w:val="000000"/>
                <w:sz w:val="24"/>
                <w:szCs w:val="24"/>
              </w:rPr>
              <w:t>Social Foraging</w:t>
            </w:r>
          </w:p>
        </w:tc>
        <w:tc>
          <w:tcPr>
            <w:tcW w:w="796" w:type="dxa"/>
            <w:shd w:val="clear" w:color="auto" w:fill="auto"/>
            <w:noWrap/>
            <w:hideMark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b/>
                <w:color w:val="000000"/>
                <w:sz w:val="24"/>
                <w:szCs w:val="24"/>
              </w:rPr>
              <w:t>.590</w:t>
            </w:r>
          </w:p>
        </w:tc>
        <w:tc>
          <w:tcPr>
            <w:tcW w:w="796" w:type="dxa"/>
            <w:shd w:val="clear" w:color="auto" w:fill="auto"/>
            <w:noWrap/>
            <w:hideMark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b/>
                <w:color w:val="000000"/>
                <w:sz w:val="24"/>
                <w:szCs w:val="24"/>
              </w:rPr>
              <w:t>.607</w:t>
            </w:r>
          </w:p>
        </w:tc>
        <w:tc>
          <w:tcPr>
            <w:tcW w:w="836" w:type="dxa"/>
            <w:shd w:val="clear" w:color="auto" w:fill="auto"/>
            <w:noWrap/>
            <w:hideMark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color w:val="000000"/>
                <w:sz w:val="24"/>
                <w:szCs w:val="24"/>
              </w:rPr>
              <w:t>-.011</w:t>
            </w:r>
          </w:p>
        </w:tc>
        <w:tc>
          <w:tcPr>
            <w:tcW w:w="230" w:type="dxa"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36" w:type="dxa"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b/>
                <w:color w:val="000000"/>
                <w:sz w:val="24"/>
                <w:szCs w:val="24"/>
              </w:rPr>
              <w:t>.846</w:t>
            </w:r>
          </w:p>
        </w:tc>
        <w:tc>
          <w:tcPr>
            <w:tcW w:w="1331" w:type="dxa"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color w:val="000000"/>
                <w:sz w:val="24"/>
                <w:szCs w:val="24"/>
              </w:rPr>
              <w:t>-.026</w:t>
            </w:r>
          </w:p>
        </w:tc>
      </w:tr>
      <w:tr w:rsidR="007F3502" w:rsidRPr="0078671B" w:rsidTr="009B0FC5">
        <w:trPr>
          <w:trHeight w:val="319"/>
        </w:trPr>
        <w:tc>
          <w:tcPr>
            <w:tcW w:w="2938" w:type="dxa"/>
            <w:shd w:val="clear" w:color="auto" w:fill="auto"/>
            <w:hideMark/>
          </w:tcPr>
          <w:p w:rsidR="007F3502" w:rsidRPr="0078671B" w:rsidRDefault="007F3502" w:rsidP="009B0FC5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color w:val="000000"/>
                <w:sz w:val="24"/>
                <w:szCs w:val="24"/>
              </w:rPr>
              <w:t>Conflict Symmetry</w:t>
            </w:r>
          </w:p>
        </w:tc>
        <w:tc>
          <w:tcPr>
            <w:tcW w:w="796" w:type="dxa"/>
            <w:shd w:val="clear" w:color="auto" w:fill="auto"/>
            <w:noWrap/>
            <w:hideMark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color w:val="000000"/>
                <w:sz w:val="24"/>
                <w:szCs w:val="24"/>
              </w:rPr>
              <w:t>.006</w:t>
            </w:r>
          </w:p>
        </w:tc>
        <w:tc>
          <w:tcPr>
            <w:tcW w:w="796" w:type="dxa"/>
            <w:shd w:val="clear" w:color="auto" w:fill="auto"/>
            <w:noWrap/>
            <w:hideMark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color w:val="000000"/>
                <w:sz w:val="24"/>
                <w:szCs w:val="24"/>
              </w:rPr>
              <w:t>.033</w:t>
            </w:r>
          </w:p>
        </w:tc>
        <w:tc>
          <w:tcPr>
            <w:tcW w:w="836" w:type="dxa"/>
            <w:shd w:val="clear" w:color="auto" w:fill="auto"/>
            <w:noWrap/>
            <w:hideMark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b/>
                <w:color w:val="000000"/>
                <w:sz w:val="24"/>
                <w:szCs w:val="24"/>
              </w:rPr>
              <w:t>.899</w:t>
            </w:r>
          </w:p>
        </w:tc>
        <w:tc>
          <w:tcPr>
            <w:tcW w:w="230" w:type="dxa"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36" w:type="dxa"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color w:val="000000"/>
                <w:sz w:val="24"/>
                <w:szCs w:val="24"/>
              </w:rPr>
              <w:t>.049</w:t>
            </w:r>
          </w:p>
        </w:tc>
        <w:tc>
          <w:tcPr>
            <w:tcW w:w="1331" w:type="dxa"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b/>
                <w:color w:val="000000"/>
                <w:sz w:val="24"/>
                <w:szCs w:val="24"/>
              </w:rPr>
              <w:t>.865</w:t>
            </w:r>
          </w:p>
        </w:tc>
      </w:tr>
      <w:tr w:rsidR="007F3502" w:rsidRPr="0078671B" w:rsidTr="009B0FC5">
        <w:trPr>
          <w:trHeight w:val="319"/>
        </w:trPr>
        <w:tc>
          <w:tcPr>
            <w:tcW w:w="2938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7F3502" w:rsidRPr="0078671B" w:rsidRDefault="007F3502" w:rsidP="009B0FC5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color w:val="000000"/>
                <w:sz w:val="24"/>
                <w:szCs w:val="24"/>
              </w:rPr>
              <w:t>Conflict</w:t>
            </w:r>
          </w:p>
        </w:tc>
        <w:tc>
          <w:tcPr>
            <w:tcW w:w="79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color w:val="000000"/>
                <w:sz w:val="24"/>
                <w:szCs w:val="24"/>
              </w:rPr>
              <w:t>-.086</w:t>
            </w:r>
          </w:p>
        </w:tc>
        <w:tc>
          <w:tcPr>
            <w:tcW w:w="79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color w:val="000000"/>
                <w:sz w:val="24"/>
                <w:szCs w:val="24"/>
              </w:rPr>
              <w:t>-.019</w:t>
            </w:r>
          </w:p>
        </w:tc>
        <w:tc>
          <w:tcPr>
            <w:tcW w:w="83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b/>
                <w:color w:val="000000"/>
                <w:sz w:val="24"/>
                <w:szCs w:val="24"/>
              </w:rPr>
              <w:t>.898</w:t>
            </w:r>
          </w:p>
        </w:tc>
        <w:tc>
          <w:tcPr>
            <w:tcW w:w="230" w:type="dxa"/>
            <w:tcBorders>
              <w:bottom w:val="single" w:sz="4" w:space="0" w:color="auto"/>
            </w:tcBorders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36" w:type="dxa"/>
            <w:tcBorders>
              <w:bottom w:val="single" w:sz="4" w:space="0" w:color="auto"/>
            </w:tcBorders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color w:val="000000"/>
                <w:sz w:val="24"/>
                <w:szCs w:val="24"/>
              </w:rPr>
              <w:t>-.053</w:t>
            </w:r>
          </w:p>
        </w:tc>
        <w:tc>
          <w:tcPr>
            <w:tcW w:w="1331" w:type="dxa"/>
            <w:tcBorders>
              <w:bottom w:val="single" w:sz="4" w:space="0" w:color="auto"/>
            </w:tcBorders>
          </w:tcPr>
          <w:p w:rsidR="007F3502" w:rsidRPr="0078671B" w:rsidRDefault="007F3502" w:rsidP="009B0FC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671B">
              <w:rPr>
                <w:rFonts w:ascii="Arial" w:hAnsi="Arial" w:cs="Arial"/>
                <w:b/>
                <w:color w:val="000000"/>
                <w:sz w:val="24"/>
                <w:szCs w:val="24"/>
              </w:rPr>
              <w:t>.875</w:t>
            </w:r>
          </w:p>
        </w:tc>
      </w:tr>
    </w:tbl>
    <w:p w:rsidR="000101D0" w:rsidRDefault="000101D0" w:rsidP="007F3502">
      <w:pPr>
        <w:shd w:val="clear" w:color="auto" w:fill="FFFFFF"/>
        <w:spacing w:after="0" w:line="480" w:lineRule="auto"/>
        <w:rPr>
          <w:rFonts w:ascii="Arial" w:hAnsi="Arial" w:cs="Arial"/>
          <w:sz w:val="24"/>
          <w:szCs w:val="24"/>
          <w:vertAlign w:val="superscript"/>
        </w:rPr>
      </w:pPr>
      <w:proofErr w:type="spellStart"/>
      <w:r>
        <w:rPr>
          <w:rFonts w:ascii="Arial" w:hAnsi="Arial" w:cs="Arial"/>
          <w:sz w:val="24"/>
          <w:szCs w:val="24"/>
        </w:rPr>
        <w:t>Varimax</w:t>
      </w:r>
      <w:proofErr w:type="spellEnd"/>
      <w:r>
        <w:rPr>
          <w:rFonts w:ascii="Arial" w:hAnsi="Arial" w:cs="Arial"/>
          <w:sz w:val="24"/>
          <w:szCs w:val="24"/>
        </w:rPr>
        <w:t xml:space="preserve">-rotated PCA structure of 10 </w:t>
      </w:r>
      <w:proofErr w:type="spellStart"/>
      <w:r>
        <w:rPr>
          <w:rFonts w:ascii="Arial" w:hAnsi="Arial" w:cs="Arial"/>
          <w:sz w:val="24"/>
          <w:szCs w:val="24"/>
        </w:rPr>
        <w:t>behavioral</w:t>
      </w:r>
      <w:proofErr w:type="spellEnd"/>
      <w:r>
        <w:rPr>
          <w:rFonts w:ascii="Arial" w:hAnsi="Arial" w:cs="Arial"/>
          <w:sz w:val="24"/>
          <w:szCs w:val="24"/>
        </w:rPr>
        <w:t xml:space="preserve"> measures based on Kaiser’s criterion, a </w:t>
      </w:r>
      <w:proofErr w:type="spellStart"/>
      <w:r>
        <w:rPr>
          <w:rFonts w:ascii="Arial" w:hAnsi="Arial" w:cs="Arial"/>
          <w:sz w:val="24"/>
          <w:szCs w:val="24"/>
        </w:rPr>
        <w:t>scree</w:t>
      </w:r>
      <w:proofErr w:type="spellEnd"/>
      <w:r>
        <w:rPr>
          <w:rFonts w:ascii="Arial" w:hAnsi="Arial" w:cs="Arial"/>
          <w:sz w:val="24"/>
          <w:szCs w:val="24"/>
        </w:rPr>
        <w:t xml:space="preserve"> test, and parallel </w:t>
      </w:r>
      <w:proofErr w:type="spellStart"/>
      <w:r>
        <w:rPr>
          <w:rFonts w:ascii="Arial" w:hAnsi="Arial" w:cs="Arial"/>
          <w:sz w:val="24"/>
          <w:szCs w:val="24"/>
        </w:rPr>
        <w:t>analysis</w:t>
      </w:r>
      <w:r w:rsidRPr="00A96308">
        <w:rPr>
          <w:rFonts w:ascii="Arial" w:hAnsi="Arial" w:cs="Arial"/>
          <w:sz w:val="24"/>
          <w:szCs w:val="24"/>
          <w:vertAlign w:val="superscript"/>
        </w:rPr>
        <w:t>a</w:t>
      </w:r>
      <w:proofErr w:type="spellEnd"/>
    </w:p>
    <w:p w:rsidR="001057DD" w:rsidRPr="007F3502" w:rsidRDefault="007F3502" w:rsidP="007F3502">
      <w:pPr>
        <w:shd w:val="clear" w:color="auto" w:fill="FFFFFF"/>
        <w:spacing w:after="0" w:line="480" w:lineRule="auto"/>
        <w:rPr>
          <w:rFonts w:ascii="Arial" w:hAnsi="Arial" w:cs="Arial"/>
          <w:sz w:val="24"/>
          <w:szCs w:val="24"/>
        </w:rPr>
      </w:pPr>
      <w:proofErr w:type="spellStart"/>
      <w:r w:rsidRPr="00A96308">
        <w:rPr>
          <w:rFonts w:ascii="Arial" w:hAnsi="Arial" w:cs="Arial"/>
          <w:sz w:val="24"/>
          <w:szCs w:val="24"/>
          <w:vertAlign w:val="superscript"/>
        </w:rPr>
        <w:t>a</w:t>
      </w:r>
      <w:bookmarkStart w:id="0" w:name="_GoBack"/>
      <w:bookmarkEnd w:id="0"/>
      <w:r w:rsidRPr="0078671B">
        <w:rPr>
          <w:rFonts w:ascii="Arial" w:hAnsi="Arial" w:cs="Arial"/>
          <w:sz w:val="24"/>
          <w:szCs w:val="24"/>
        </w:rPr>
        <w:t>Salient</w:t>
      </w:r>
      <w:proofErr w:type="spellEnd"/>
      <w:r w:rsidRPr="0078671B">
        <w:rPr>
          <w:rFonts w:ascii="Arial" w:hAnsi="Arial" w:cs="Arial"/>
          <w:sz w:val="24"/>
          <w:szCs w:val="24"/>
        </w:rPr>
        <w:t xml:space="preserve"> loadings (&gt;|0.4|) per </w:t>
      </w:r>
      <w:proofErr w:type="spellStart"/>
      <w:r>
        <w:rPr>
          <w:rFonts w:ascii="Arial" w:hAnsi="Arial" w:cs="Arial"/>
          <w:sz w:val="24"/>
          <w:szCs w:val="24"/>
        </w:rPr>
        <w:t>behavior</w:t>
      </w:r>
      <w:proofErr w:type="spellEnd"/>
      <w:r w:rsidRPr="0078671B">
        <w:rPr>
          <w:rFonts w:ascii="Arial" w:hAnsi="Arial" w:cs="Arial"/>
          <w:sz w:val="24"/>
          <w:szCs w:val="24"/>
        </w:rPr>
        <w:t xml:space="preserve"> are </w:t>
      </w:r>
      <w:r>
        <w:rPr>
          <w:rFonts w:ascii="Arial" w:hAnsi="Arial" w:cs="Arial"/>
          <w:sz w:val="24"/>
          <w:szCs w:val="24"/>
        </w:rPr>
        <w:t xml:space="preserve">in bold; PC=principal component; </w:t>
      </w:r>
      <w:proofErr w:type="spellStart"/>
      <w:r w:rsidRPr="00A96308">
        <w:rPr>
          <w:rFonts w:ascii="Arial" w:hAnsi="Arial" w:cs="Arial"/>
          <w:sz w:val="24"/>
          <w:szCs w:val="24"/>
          <w:vertAlign w:val="superscript"/>
        </w:rPr>
        <w:t>b</w:t>
      </w:r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scree test, complexity, empirical BIC, and VSS also recommended that two components be extracted; </w:t>
      </w:r>
      <w:r w:rsidRPr="004F5E37">
        <w:rPr>
          <w:rFonts w:ascii="Arial" w:hAnsi="Arial" w:cs="Arial"/>
          <w:sz w:val="24"/>
          <w:szCs w:val="24"/>
          <w:vertAlign w:val="superscript"/>
        </w:rPr>
        <w:t>c</w:t>
      </w:r>
      <w:r>
        <w:rPr>
          <w:rFonts w:ascii="Arial" w:hAnsi="Arial" w:cs="Arial"/>
          <w:sz w:val="24"/>
          <w:szCs w:val="24"/>
        </w:rPr>
        <w:t xml:space="preserve"> reproduced with permission from Morton et al. (2015).</w:t>
      </w:r>
    </w:p>
    <w:sectPr w:rsidR="001057DD" w:rsidRPr="007F3502" w:rsidSect="00945B6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502"/>
    <w:rsid w:val="000101D0"/>
    <w:rsid w:val="001057DD"/>
    <w:rsid w:val="007F3502"/>
    <w:rsid w:val="00945B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0A3A23A-9B45-4EF0-A84A-E3A39B7B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502"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350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502"/>
    <w:rPr>
      <w:rFonts w:ascii="Lucida Grande" w:eastAsia="Times New Roman" w:hAnsi="Lucida Grande" w:cs="Lucida Grande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758</Characters>
  <Application>Microsoft Office Word</Application>
  <DocSecurity>0</DocSecurity>
  <Lines>6</Lines>
  <Paragraphs>1</Paragraphs>
  <ScaleCrop>false</ScaleCrop>
  <Company>University of Stirling</Company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Morton</dc:creator>
  <cp:keywords/>
  <dc:description/>
  <cp:lastModifiedBy>ALTSCHUL Drew</cp:lastModifiedBy>
  <cp:revision>2</cp:revision>
  <dcterms:created xsi:type="dcterms:W3CDTF">2015-07-18T19:46:00Z</dcterms:created>
  <dcterms:modified xsi:type="dcterms:W3CDTF">2015-08-12T12:56:00Z</dcterms:modified>
</cp:coreProperties>
</file>