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4CDE6" w14:textId="3E97D7DC" w:rsidR="009D6748" w:rsidRPr="009D6748" w:rsidRDefault="009D6748" w:rsidP="009D6748">
      <w:pPr>
        <w:jc w:val="center"/>
        <w:rPr>
          <w:b/>
          <w:bCs/>
          <w:sz w:val="48"/>
          <w:szCs w:val="48"/>
        </w:rPr>
      </w:pPr>
      <w:r w:rsidRPr="009D6748">
        <w:rPr>
          <w:b/>
          <w:bCs/>
          <w:sz w:val="48"/>
          <w:szCs w:val="48"/>
        </w:rPr>
        <w:t xml:space="preserve">First Annual </w:t>
      </w:r>
      <w:proofErr w:type="spellStart"/>
      <w:r w:rsidRPr="009D6748">
        <w:rPr>
          <w:b/>
          <w:bCs/>
          <w:sz w:val="48"/>
          <w:szCs w:val="48"/>
        </w:rPr>
        <w:t>CodeChella</w:t>
      </w:r>
      <w:proofErr w:type="spellEnd"/>
    </w:p>
    <w:p w14:paraId="08AECEB2" w14:textId="6240E57E" w:rsidR="006C6C22" w:rsidRDefault="009D6748" w:rsidP="009D6748">
      <w:pPr>
        <w:jc w:val="center"/>
        <w:rPr>
          <w:b/>
          <w:bCs/>
        </w:rPr>
      </w:pPr>
      <w:r>
        <w:rPr>
          <w:b/>
          <w:bCs/>
        </w:rPr>
        <w:t>Difference-in-Differences</w:t>
      </w:r>
    </w:p>
    <w:p w14:paraId="0338CFBF" w14:textId="3586741B" w:rsidR="009D6748" w:rsidRDefault="009D6748" w:rsidP="009D6748">
      <w:pPr>
        <w:rPr>
          <w:b/>
          <w:bCs/>
        </w:rPr>
      </w:pPr>
    </w:p>
    <w:p w14:paraId="0220FF9D" w14:textId="7BA0EABB" w:rsidR="009D6748" w:rsidRDefault="009D6748" w:rsidP="009D6748">
      <w:r>
        <w:rPr>
          <w:b/>
          <w:bCs/>
        </w:rPr>
        <w:t xml:space="preserve">Description: </w:t>
      </w:r>
      <w:r>
        <w:t xml:space="preserve">Econometricians have been hard at work over the last 4-5 years dissecting common workhorse models in the difference-in-differences design such as </w:t>
      </w:r>
      <w:proofErr w:type="spellStart"/>
      <w:r>
        <w:t>twoway</w:t>
      </w:r>
      <w:proofErr w:type="spellEnd"/>
      <w:r>
        <w:t xml:space="preserve"> fixed effects, as well as procedures such as event studies.  A lot has been learned, and a lot of software is now available.  Cunningham is teaching a workshop that will provide an introduction to this material which when combined with software examples should (he hopes) provide you with confidence and competency in going forward with your research using difference-in-differences, fixed effects estimators, as well as alternative estimators that we will discuss.  The following represents what he is tentatively planning to cover.</w:t>
      </w:r>
    </w:p>
    <w:p w14:paraId="675A0669" w14:textId="03B4DB5D" w:rsidR="009D6748" w:rsidRDefault="009D6748" w:rsidP="009D6748"/>
    <w:tbl>
      <w:tblPr>
        <w:tblStyle w:val="TableGrid"/>
        <w:tblW w:w="0" w:type="auto"/>
        <w:tblLook w:val="04A0" w:firstRow="1" w:lastRow="0" w:firstColumn="1" w:lastColumn="0" w:noHBand="0" w:noVBand="1"/>
      </w:tblPr>
      <w:tblGrid>
        <w:gridCol w:w="4953"/>
        <w:gridCol w:w="4397"/>
      </w:tblGrid>
      <w:tr w:rsidR="009D6748" w:rsidRPr="009D6748" w14:paraId="1895D087" w14:textId="0797F8FF" w:rsidTr="009D6748">
        <w:tc>
          <w:tcPr>
            <w:tcW w:w="4953" w:type="dxa"/>
          </w:tcPr>
          <w:p w14:paraId="356FAEE8" w14:textId="77777777" w:rsidR="009D6748" w:rsidRPr="009D6748" w:rsidRDefault="009D6748" w:rsidP="0085121E">
            <w:pPr>
              <w:rPr>
                <w:b/>
                <w:bCs/>
              </w:rPr>
            </w:pPr>
            <w:r w:rsidRPr="009D6748">
              <w:rPr>
                <w:b/>
                <w:bCs/>
              </w:rPr>
              <w:t>Workshop 1</w:t>
            </w:r>
          </w:p>
        </w:tc>
        <w:tc>
          <w:tcPr>
            <w:tcW w:w="4397" w:type="dxa"/>
          </w:tcPr>
          <w:p w14:paraId="6C380841" w14:textId="65A6A779" w:rsidR="009D6748" w:rsidRPr="009D6748" w:rsidRDefault="009D6748" w:rsidP="0085121E">
            <w:pPr>
              <w:rPr>
                <w:b/>
                <w:bCs/>
              </w:rPr>
            </w:pPr>
            <w:r>
              <w:rPr>
                <w:b/>
                <w:bCs/>
              </w:rPr>
              <w:t>Workshop 2</w:t>
            </w:r>
          </w:p>
        </w:tc>
      </w:tr>
      <w:tr w:rsidR="009D6748" w:rsidRPr="009D6748" w14:paraId="72002176" w14:textId="3CA1999A" w:rsidTr="009D6748">
        <w:tc>
          <w:tcPr>
            <w:tcW w:w="4953" w:type="dxa"/>
          </w:tcPr>
          <w:p w14:paraId="466D8124" w14:textId="77777777" w:rsidR="009D6748" w:rsidRPr="009D6748" w:rsidRDefault="009D6748" w:rsidP="0085121E">
            <w:pPr>
              <w:rPr>
                <w:b/>
                <w:bCs/>
              </w:rPr>
            </w:pPr>
            <w:r w:rsidRPr="009D6748">
              <w:rPr>
                <w:b/>
                <w:bCs/>
              </w:rPr>
              <w:t>Friday July 16</w:t>
            </w:r>
            <w:r w:rsidRPr="009D6748">
              <w:rPr>
                <w:b/>
                <w:bCs/>
                <w:vertAlign w:val="superscript"/>
              </w:rPr>
              <w:t>th</w:t>
            </w:r>
            <w:r w:rsidRPr="009D6748">
              <w:rPr>
                <w:b/>
                <w:bCs/>
              </w:rPr>
              <w:t>, 2021</w:t>
            </w:r>
          </w:p>
        </w:tc>
        <w:tc>
          <w:tcPr>
            <w:tcW w:w="4397" w:type="dxa"/>
          </w:tcPr>
          <w:p w14:paraId="1E8E89AE" w14:textId="59510037" w:rsidR="009D6748" w:rsidRPr="009D6748" w:rsidRDefault="009D6748" w:rsidP="0085121E">
            <w:pPr>
              <w:rPr>
                <w:b/>
                <w:bCs/>
              </w:rPr>
            </w:pPr>
            <w:r>
              <w:rPr>
                <w:b/>
                <w:bCs/>
              </w:rPr>
              <w:t>Friday July 23, 2021</w:t>
            </w:r>
          </w:p>
        </w:tc>
      </w:tr>
      <w:tr w:rsidR="009D6748" w:rsidRPr="009D6748" w14:paraId="3836934C" w14:textId="5D449ECB" w:rsidTr="009D6748">
        <w:tc>
          <w:tcPr>
            <w:tcW w:w="4953" w:type="dxa"/>
          </w:tcPr>
          <w:p w14:paraId="0A108E7A" w14:textId="77777777" w:rsidR="009D6748" w:rsidRPr="009D6748" w:rsidRDefault="009D6748" w:rsidP="0085121E">
            <w:pPr>
              <w:rPr>
                <w:b/>
                <w:bCs/>
              </w:rPr>
            </w:pPr>
            <w:r w:rsidRPr="009D6748">
              <w:rPr>
                <w:b/>
                <w:bCs/>
              </w:rPr>
              <w:t>9:00am to 2:00pm Central standard time</w:t>
            </w:r>
          </w:p>
        </w:tc>
        <w:tc>
          <w:tcPr>
            <w:tcW w:w="4397" w:type="dxa"/>
          </w:tcPr>
          <w:p w14:paraId="5A3257CB" w14:textId="6158F547" w:rsidR="009D6748" w:rsidRDefault="009D6748" w:rsidP="0085121E">
            <w:pPr>
              <w:rPr>
                <w:b/>
                <w:bCs/>
              </w:rPr>
            </w:pPr>
            <w:r>
              <w:rPr>
                <w:b/>
                <w:bCs/>
              </w:rPr>
              <w:t>3:00am to 8:00am Central standard time</w:t>
            </w:r>
          </w:p>
          <w:p w14:paraId="5914CDB7" w14:textId="4A10C40C" w:rsidR="009D6748" w:rsidRDefault="009D6748" w:rsidP="0085121E">
            <w:pPr>
              <w:rPr>
                <w:b/>
                <w:bCs/>
              </w:rPr>
            </w:pPr>
            <w:r>
              <w:rPr>
                <w:b/>
                <w:bCs/>
              </w:rPr>
              <w:t>9:00am to 3:00pm United Kingdom</w:t>
            </w:r>
          </w:p>
          <w:p w14:paraId="26BA1473" w14:textId="6E15FA6D" w:rsidR="009D6748" w:rsidRDefault="009D6748" w:rsidP="0085121E">
            <w:pPr>
              <w:rPr>
                <w:b/>
                <w:bCs/>
              </w:rPr>
            </w:pPr>
            <w:r>
              <w:rPr>
                <w:b/>
                <w:bCs/>
              </w:rPr>
              <w:t>5:00pm to 11:00pm Asia</w:t>
            </w:r>
          </w:p>
          <w:p w14:paraId="12CD60B8" w14:textId="1A66129E" w:rsidR="009D6748" w:rsidRDefault="009D6748" w:rsidP="0085121E">
            <w:pPr>
              <w:rPr>
                <w:b/>
                <w:bCs/>
              </w:rPr>
            </w:pPr>
            <w:r>
              <w:rPr>
                <w:b/>
                <w:bCs/>
              </w:rPr>
              <w:t>10:00am to 3:00pm Egypt time</w:t>
            </w:r>
          </w:p>
          <w:p w14:paraId="2C8CAFA2" w14:textId="284C4085" w:rsidR="009D6748" w:rsidRPr="009D6748" w:rsidRDefault="009D6748" w:rsidP="0085121E">
            <w:pPr>
              <w:rPr>
                <w:b/>
                <w:bCs/>
              </w:rPr>
            </w:pPr>
            <w:r>
              <w:rPr>
                <w:b/>
                <w:bCs/>
              </w:rPr>
              <w:t>8:00pm to 1:00am New Zealand time</w:t>
            </w:r>
          </w:p>
        </w:tc>
      </w:tr>
    </w:tbl>
    <w:p w14:paraId="298B45FA" w14:textId="1F3CAE6A" w:rsidR="009D6748" w:rsidRDefault="009D6748" w:rsidP="009D6748">
      <w:pPr>
        <w:rPr>
          <w:b/>
          <w:bCs/>
        </w:rPr>
      </w:pPr>
    </w:p>
    <w:p w14:paraId="75FBD62C" w14:textId="38B0A94C" w:rsidR="009D6748" w:rsidRDefault="009D6748" w:rsidP="009D6748">
      <w:r>
        <w:t>Workshop is aimed at the American market.  Workshop 2 is aimed at the rest of the world.  I tried to find a way to coordinate across many different markets</w:t>
      </w:r>
      <w:r w:rsidR="00F903ED">
        <w:t xml:space="preserve">, but New Zealand/Australia creates some challenges, so I went with what I hope was a good compromise.  </w:t>
      </w:r>
    </w:p>
    <w:p w14:paraId="6C5BA73E" w14:textId="132BDF2D" w:rsidR="00F903ED" w:rsidRDefault="00F903ED" w:rsidP="009D6748"/>
    <w:p w14:paraId="151D7952" w14:textId="4AFB954E" w:rsidR="00F903ED" w:rsidRDefault="00F903ED" w:rsidP="009D6748">
      <w:r w:rsidRPr="00652679">
        <w:rPr>
          <w:b/>
          <w:bCs/>
        </w:rPr>
        <w:t>Readings</w:t>
      </w:r>
      <w:r>
        <w:t xml:space="preserve">: Mostly just read what I’ve written on my </w:t>
      </w:r>
      <w:proofErr w:type="spellStart"/>
      <w:r>
        <w:t>substack</w:t>
      </w:r>
      <w:proofErr w:type="spellEnd"/>
      <w:r>
        <w:t xml:space="preserve">, </w:t>
      </w:r>
      <w:r>
        <w:rPr>
          <w:u w:val="single"/>
        </w:rPr>
        <w:t xml:space="preserve">Causal Inference: </w:t>
      </w:r>
      <w:proofErr w:type="gramStart"/>
      <w:r>
        <w:rPr>
          <w:u w:val="single"/>
        </w:rPr>
        <w:t>the</w:t>
      </w:r>
      <w:proofErr w:type="gramEnd"/>
      <w:r>
        <w:rPr>
          <w:u w:val="single"/>
        </w:rPr>
        <w:t xml:space="preserve"> Remix</w:t>
      </w:r>
      <w:r>
        <w:t>, as those have short reviews plus they have links to the articles below</w:t>
      </w:r>
      <w:r w:rsidR="00652679">
        <w:t xml:space="preserve"> at my </w:t>
      </w:r>
      <w:proofErr w:type="spellStart"/>
      <w:r w:rsidR="00652679">
        <w:t>substack</w:t>
      </w:r>
      <w:proofErr w:type="spellEnd"/>
      <w:r w:rsidR="00652679">
        <w:t xml:space="preserve"> as well as embedded in the outline</w:t>
      </w:r>
      <w:r w:rsidR="0002702D">
        <w:t xml:space="preserve">.  I am storing this at my </w:t>
      </w:r>
      <w:proofErr w:type="spellStart"/>
      <w:r w:rsidR="0002702D">
        <w:t>github</w:t>
      </w:r>
      <w:proofErr w:type="spellEnd"/>
      <w:r w:rsidR="0002702D">
        <w:t xml:space="preserve"> below.</w:t>
      </w:r>
    </w:p>
    <w:p w14:paraId="6C386F2B" w14:textId="4C0DC1FA" w:rsidR="00F903ED" w:rsidRDefault="00F903ED" w:rsidP="009D6748"/>
    <w:p w14:paraId="46D76950" w14:textId="2852110C" w:rsidR="00F903ED" w:rsidRDefault="00F903ED" w:rsidP="009D6748">
      <w:hyperlink r:id="rId5" w:history="1">
        <w:r w:rsidRPr="000E0866">
          <w:rPr>
            <w:rStyle w:val="Hyperlink"/>
          </w:rPr>
          <w:t>https://causalinf.substack.com</w:t>
        </w:r>
      </w:hyperlink>
    </w:p>
    <w:p w14:paraId="32076DE4" w14:textId="066126E7" w:rsidR="00F903ED" w:rsidRDefault="00F903ED" w:rsidP="009D6748"/>
    <w:p w14:paraId="581E253D" w14:textId="5E2823C1" w:rsidR="00652679" w:rsidRDefault="00A45584" w:rsidP="009D6748">
      <w:pPr>
        <w:rPr>
          <w:b/>
          <w:bCs/>
        </w:rPr>
      </w:pPr>
      <w:r>
        <w:rPr>
          <w:b/>
          <w:bCs/>
        </w:rPr>
        <w:t>Code, Data, Articles and Slides</w:t>
      </w:r>
      <w:r w:rsidR="00652679">
        <w:rPr>
          <w:b/>
          <w:bCs/>
        </w:rPr>
        <w:t xml:space="preserve">: </w:t>
      </w:r>
    </w:p>
    <w:p w14:paraId="44F07AEE" w14:textId="74AC6AF2" w:rsidR="00A45584" w:rsidRDefault="00A45584" w:rsidP="009D6748">
      <w:hyperlink r:id="rId6" w:history="1">
        <w:r w:rsidRPr="000E0866">
          <w:rPr>
            <w:rStyle w:val="Hyperlink"/>
          </w:rPr>
          <w:t>https://github.com/scunning1975/codechella.git</w:t>
        </w:r>
      </w:hyperlink>
    </w:p>
    <w:p w14:paraId="7079C6EF" w14:textId="158FCC57" w:rsidR="00A45584" w:rsidRDefault="00A45584" w:rsidP="009D6748"/>
    <w:p w14:paraId="489EEAEA" w14:textId="77777777" w:rsidR="00A45584" w:rsidRPr="00A45584" w:rsidRDefault="00A45584" w:rsidP="009D6748"/>
    <w:p w14:paraId="3C5B017A" w14:textId="77777777" w:rsidR="00652679" w:rsidRDefault="00652679" w:rsidP="009D6748"/>
    <w:p w14:paraId="56FFD8B7" w14:textId="302E1797" w:rsidR="00F903ED" w:rsidRPr="00F903ED" w:rsidRDefault="00652679" w:rsidP="009D6748">
      <w:pPr>
        <w:rPr>
          <w:b/>
          <w:bCs/>
        </w:rPr>
      </w:pPr>
      <w:r>
        <w:rPr>
          <w:b/>
          <w:bCs/>
        </w:rPr>
        <w:br w:type="column"/>
      </w:r>
      <w:r w:rsidR="00F903ED" w:rsidRPr="00F903ED">
        <w:rPr>
          <w:b/>
          <w:bCs/>
        </w:rPr>
        <w:lastRenderedPageBreak/>
        <w:t>Outline:</w:t>
      </w:r>
    </w:p>
    <w:p w14:paraId="4C2ABA5A" w14:textId="4E6C5447" w:rsidR="00F903ED" w:rsidRDefault="00F903ED" w:rsidP="00F903ED">
      <w:pPr>
        <w:pStyle w:val="ListParagraph"/>
        <w:numPr>
          <w:ilvl w:val="0"/>
          <w:numId w:val="1"/>
        </w:numPr>
      </w:pPr>
      <w:r>
        <w:t>Potential outcomes review</w:t>
      </w:r>
    </w:p>
    <w:p w14:paraId="2CEA095A" w14:textId="7660D0C6" w:rsidR="00F903ED" w:rsidRDefault="00F903ED" w:rsidP="00F903ED">
      <w:pPr>
        <w:pStyle w:val="ListParagraph"/>
        <w:numPr>
          <w:ilvl w:val="0"/>
          <w:numId w:val="1"/>
        </w:numPr>
      </w:pPr>
      <w:r>
        <w:t xml:space="preserve">Two group </w:t>
      </w:r>
      <w:proofErr w:type="gramStart"/>
      <w:r>
        <w:t>case</w:t>
      </w:r>
      <w:proofErr w:type="gramEnd"/>
    </w:p>
    <w:p w14:paraId="7B362A12" w14:textId="12E10C30" w:rsidR="00F903ED" w:rsidRDefault="00F903ED" w:rsidP="00F903ED">
      <w:pPr>
        <w:pStyle w:val="ListParagraph"/>
        <w:numPr>
          <w:ilvl w:val="1"/>
          <w:numId w:val="1"/>
        </w:numPr>
      </w:pPr>
      <w:r>
        <w:t xml:space="preserve">History (John Snow, </w:t>
      </w:r>
      <w:proofErr w:type="spellStart"/>
      <w:r>
        <w:t>Ashenfelt</w:t>
      </w:r>
      <w:proofErr w:type="spellEnd"/>
      <w:r>
        <w:t>, Card and Krueger, etc.)</w:t>
      </w:r>
    </w:p>
    <w:p w14:paraId="555552CA" w14:textId="5F6B40E8" w:rsidR="00F903ED" w:rsidRDefault="00F903ED" w:rsidP="00F903ED">
      <w:pPr>
        <w:pStyle w:val="ListParagraph"/>
        <w:numPr>
          <w:ilvl w:val="1"/>
          <w:numId w:val="1"/>
        </w:numPr>
      </w:pPr>
      <w:r>
        <w:t>Two by two designs with and without regressions</w:t>
      </w:r>
    </w:p>
    <w:p w14:paraId="2C6A4D22" w14:textId="77777777" w:rsidR="00AC4154" w:rsidRDefault="00F903ED" w:rsidP="00F903ED">
      <w:pPr>
        <w:pStyle w:val="ListParagraph"/>
        <w:numPr>
          <w:ilvl w:val="1"/>
          <w:numId w:val="1"/>
        </w:numPr>
      </w:pPr>
      <w:r>
        <w:t xml:space="preserve">Covariates </w:t>
      </w:r>
    </w:p>
    <w:p w14:paraId="7F63BF6A" w14:textId="77777777" w:rsidR="00AC4154" w:rsidRDefault="00F903ED" w:rsidP="00AC4154">
      <w:pPr>
        <w:pStyle w:val="ListParagraph"/>
        <w:numPr>
          <w:ilvl w:val="2"/>
          <w:numId w:val="1"/>
        </w:numPr>
      </w:pPr>
      <w:r>
        <w:t xml:space="preserve">Abadie 2005; </w:t>
      </w:r>
    </w:p>
    <w:p w14:paraId="5A5F8F71" w14:textId="30B344D0" w:rsidR="00F903ED" w:rsidRDefault="00F903ED" w:rsidP="00AC4154">
      <w:pPr>
        <w:pStyle w:val="ListParagraph"/>
        <w:numPr>
          <w:ilvl w:val="2"/>
          <w:numId w:val="1"/>
        </w:numPr>
      </w:pPr>
      <w:r>
        <w:t>Callaway and Zhao 2020</w:t>
      </w:r>
    </w:p>
    <w:p w14:paraId="2A58F8F7" w14:textId="6863AA6A" w:rsidR="00F903ED" w:rsidRDefault="00F903ED" w:rsidP="00F903ED">
      <w:pPr>
        <w:pStyle w:val="ListParagraph"/>
        <w:numPr>
          <w:ilvl w:val="1"/>
          <w:numId w:val="1"/>
        </w:numPr>
      </w:pPr>
      <w:r>
        <w:t>Standard event studies</w:t>
      </w:r>
    </w:p>
    <w:p w14:paraId="528D8FF4" w14:textId="45FA34B1" w:rsidR="00AC4154" w:rsidRDefault="00AC4154" w:rsidP="00AC4154">
      <w:pPr>
        <w:pStyle w:val="ListParagraph"/>
        <w:numPr>
          <w:ilvl w:val="2"/>
          <w:numId w:val="1"/>
        </w:numPr>
      </w:pPr>
      <w:r>
        <w:t>Miller et al 2020</w:t>
      </w:r>
    </w:p>
    <w:p w14:paraId="6425DCE2" w14:textId="128B8F01" w:rsidR="00F903ED" w:rsidRDefault="00F903ED" w:rsidP="00F903ED">
      <w:pPr>
        <w:pStyle w:val="ListParagraph"/>
        <w:numPr>
          <w:ilvl w:val="0"/>
          <w:numId w:val="1"/>
        </w:numPr>
      </w:pPr>
      <w:r>
        <w:t xml:space="preserve">Differential timing, </w:t>
      </w:r>
      <w:proofErr w:type="spellStart"/>
      <w:r>
        <w:t>twoway</w:t>
      </w:r>
      <w:proofErr w:type="spellEnd"/>
      <w:r>
        <w:t xml:space="preserve"> fixed effects and the static specification</w:t>
      </w:r>
    </w:p>
    <w:p w14:paraId="475440CB" w14:textId="77777777" w:rsidR="00AC4154" w:rsidRDefault="00F903ED" w:rsidP="00F903ED">
      <w:pPr>
        <w:pStyle w:val="ListParagraph"/>
        <w:numPr>
          <w:ilvl w:val="1"/>
          <w:numId w:val="1"/>
        </w:numPr>
      </w:pPr>
      <w:r>
        <w:t xml:space="preserve">Early hints: </w:t>
      </w:r>
    </w:p>
    <w:p w14:paraId="58DECFEA" w14:textId="77777777" w:rsidR="00AC4154" w:rsidRDefault="00F903ED" w:rsidP="00AC4154">
      <w:pPr>
        <w:pStyle w:val="ListParagraph"/>
        <w:numPr>
          <w:ilvl w:val="2"/>
          <w:numId w:val="1"/>
        </w:numPr>
      </w:pPr>
      <w:r>
        <w:t xml:space="preserve">Wooldridge (2003); </w:t>
      </w:r>
    </w:p>
    <w:p w14:paraId="52539A21" w14:textId="77777777" w:rsidR="00AC4154" w:rsidRDefault="00F903ED" w:rsidP="00AC4154">
      <w:pPr>
        <w:pStyle w:val="ListParagraph"/>
        <w:numPr>
          <w:ilvl w:val="2"/>
          <w:numId w:val="1"/>
        </w:numPr>
      </w:pPr>
      <w:r>
        <w:t xml:space="preserve">Wolfers (2006); </w:t>
      </w:r>
    </w:p>
    <w:p w14:paraId="69E3939A" w14:textId="76DB3380" w:rsidR="00F903ED" w:rsidRDefault="00F903ED" w:rsidP="00AC4154">
      <w:pPr>
        <w:pStyle w:val="ListParagraph"/>
        <w:numPr>
          <w:ilvl w:val="2"/>
          <w:numId w:val="1"/>
        </w:numPr>
      </w:pPr>
      <w:r>
        <w:t>Meer and West (2015)</w:t>
      </w:r>
    </w:p>
    <w:p w14:paraId="56CAC34F" w14:textId="77777777" w:rsidR="00AC4154" w:rsidRDefault="00F903ED" w:rsidP="00F903ED">
      <w:pPr>
        <w:pStyle w:val="ListParagraph"/>
        <w:numPr>
          <w:ilvl w:val="1"/>
          <w:numId w:val="1"/>
        </w:numPr>
      </w:pPr>
      <w:proofErr w:type="spellStart"/>
      <w:r>
        <w:t>Twoway</w:t>
      </w:r>
      <w:proofErr w:type="spellEnd"/>
      <w:r>
        <w:t xml:space="preserve"> fixed effects: </w:t>
      </w:r>
    </w:p>
    <w:p w14:paraId="194B047B" w14:textId="6C4CBBBA" w:rsidR="00F903ED" w:rsidRDefault="00F903ED" w:rsidP="00AC4154">
      <w:pPr>
        <w:pStyle w:val="ListParagraph"/>
        <w:numPr>
          <w:ilvl w:val="2"/>
          <w:numId w:val="1"/>
        </w:numPr>
      </w:pPr>
      <w:r>
        <w:t>Goodman-Bacon (2021)</w:t>
      </w:r>
    </w:p>
    <w:p w14:paraId="7A0C6447" w14:textId="71638ACD" w:rsidR="00F903ED" w:rsidRDefault="00F903ED" w:rsidP="00AC4154">
      <w:pPr>
        <w:pStyle w:val="ListParagraph"/>
        <w:numPr>
          <w:ilvl w:val="2"/>
          <w:numId w:val="1"/>
        </w:numPr>
      </w:pPr>
      <w:proofErr w:type="spellStart"/>
      <w:r>
        <w:t>Barusyak</w:t>
      </w:r>
      <w:proofErr w:type="spellEnd"/>
      <w:r>
        <w:t xml:space="preserve">, </w:t>
      </w:r>
      <w:proofErr w:type="spellStart"/>
      <w:r>
        <w:t>Jaravel</w:t>
      </w:r>
      <w:proofErr w:type="spellEnd"/>
      <w:r>
        <w:t xml:space="preserve"> and </w:t>
      </w:r>
      <w:proofErr w:type="spellStart"/>
      <w:r>
        <w:t>Spiess</w:t>
      </w:r>
      <w:proofErr w:type="spellEnd"/>
      <w:r>
        <w:t xml:space="preserve"> (2020)</w:t>
      </w:r>
    </w:p>
    <w:p w14:paraId="3FB15C3C" w14:textId="77777777" w:rsidR="00AC4154" w:rsidRDefault="00F903ED" w:rsidP="00F903ED">
      <w:pPr>
        <w:pStyle w:val="ListParagraph"/>
        <w:numPr>
          <w:ilvl w:val="1"/>
          <w:numId w:val="1"/>
        </w:numPr>
      </w:pPr>
      <w:r>
        <w:t xml:space="preserve">Alternative estimators: </w:t>
      </w:r>
    </w:p>
    <w:p w14:paraId="263C42C6" w14:textId="7150B15E" w:rsidR="00F903ED" w:rsidRDefault="00F903ED" w:rsidP="00AC4154">
      <w:pPr>
        <w:pStyle w:val="ListParagraph"/>
        <w:numPr>
          <w:ilvl w:val="2"/>
          <w:numId w:val="1"/>
        </w:numPr>
      </w:pPr>
      <w:r>
        <w:t xml:space="preserve">De </w:t>
      </w:r>
      <w:proofErr w:type="spellStart"/>
      <w:r>
        <w:t>Chaisemartin</w:t>
      </w:r>
      <w:proofErr w:type="spellEnd"/>
      <w:r>
        <w:t xml:space="preserve"> and </w:t>
      </w:r>
      <w:proofErr w:type="spellStart"/>
      <w:r>
        <w:t>D’Haultfeœille</w:t>
      </w:r>
      <w:proofErr w:type="spellEnd"/>
      <w:r>
        <w:t xml:space="preserve"> (2020)</w:t>
      </w:r>
    </w:p>
    <w:p w14:paraId="0BF12305" w14:textId="122C31A8" w:rsidR="00F903ED" w:rsidRDefault="00F903ED" w:rsidP="00AC4154">
      <w:pPr>
        <w:pStyle w:val="ListParagraph"/>
        <w:numPr>
          <w:ilvl w:val="2"/>
          <w:numId w:val="1"/>
        </w:numPr>
      </w:pPr>
      <w:r>
        <w:t xml:space="preserve">Callaway and </w:t>
      </w:r>
      <w:proofErr w:type="spellStart"/>
      <w:r>
        <w:t>Sant’Anna</w:t>
      </w:r>
      <w:proofErr w:type="spellEnd"/>
      <w:r>
        <w:t xml:space="preserve"> (2020)</w:t>
      </w:r>
    </w:p>
    <w:p w14:paraId="70445644" w14:textId="4479B4ED" w:rsidR="00F903ED" w:rsidRDefault="00F903ED" w:rsidP="00AC4154">
      <w:pPr>
        <w:pStyle w:val="ListParagraph"/>
        <w:numPr>
          <w:ilvl w:val="2"/>
          <w:numId w:val="1"/>
        </w:numPr>
      </w:pPr>
      <w:r>
        <w:t>Stacking (</w:t>
      </w:r>
      <w:proofErr w:type="spellStart"/>
      <w:r>
        <w:t>Cingiz</w:t>
      </w:r>
      <w:proofErr w:type="spellEnd"/>
      <w:r>
        <w:t xml:space="preserve">, Dube and </w:t>
      </w:r>
      <w:proofErr w:type="spellStart"/>
      <w:r>
        <w:t>Zipperer</w:t>
      </w:r>
      <w:proofErr w:type="spellEnd"/>
      <w:r>
        <w:t xml:space="preserve"> 2018)</w:t>
      </w:r>
    </w:p>
    <w:p w14:paraId="2A1756CC" w14:textId="7EC8F791" w:rsidR="00F903ED" w:rsidRDefault="00F903ED" w:rsidP="00F903ED">
      <w:pPr>
        <w:pStyle w:val="ListParagraph"/>
        <w:numPr>
          <w:ilvl w:val="1"/>
          <w:numId w:val="1"/>
        </w:numPr>
      </w:pPr>
      <w:r>
        <w:t>Case study: Baker, et al. (2021)</w:t>
      </w:r>
    </w:p>
    <w:p w14:paraId="6BF68EB0" w14:textId="2E007E12" w:rsidR="00F903ED" w:rsidRDefault="00F903ED" w:rsidP="00F903ED">
      <w:pPr>
        <w:pStyle w:val="ListParagraph"/>
        <w:numPr>
          <w:ilvl w:val="0"/>
          <w:numId w:val="1"/>
        </w:numPr>
      </w:pPr>
      <w:r>
        <w:t>Differential timing and the event study</w:t>
      </w:r>
    </w:p>
    <w:p w14:paraId="11AFB51F" w14:textId="77777777" w:rsidR="00AC4154" w:rsidRDefault="00F903ED" w:rsidP="00F903ED">
      <w:pPr>
        <w:pStyle w:val="ListParagraph"/>
        <w:numPr>
          <w:ilvl w:val="1"/>
          <w:numId w:val="1"/>
        </w:numPr>
      </w:pPr>
      <w:r>
        <w:t xml:space="preserve">Critique: </w:t>
      </w:r>
    </w:p>
    <w:p w14:paraId="69F38603" w14:textId="1CC43337" w:rsidR="00F903ED" w:rsidRDefault="00F903ED" w:rsidP="00AC4154">
      <w:pPr>
        <w:pStyle w:val="ListParagraph"/>
        <w:numPr>
          <w:ilvl w:val="2"/>
          <w:numId w:val="1"/>
        </w:numPr>
      </w:pPr>
      <w:proofErr w:type="spellStart"/>
      <w:r>
        <w:t>Barusyak</w:t>
      </w:r>
      <w:proofErr w:type="spellEnd"/>
      <w:r>
        <w:t xml:space="preserve">, </w:t>
      </w:r>
      <w:proofErr w:type="spellStart"/>
      <w:r>
        <w:t>Jaravel</w:t>
      </w:r>
      <w:proofErr w:type="spellEnd"/>
      <w:r>
        <w:t xml:space="preserve"> and </w:t>
      </w:r>
      <w:proofErr w:type="spellStart"/>
      <w:r>
        <w:t>Spiess</w:t>
      </w:r>
      <w:proofErr w:type="spellEnd"/>
      <w:r>
        <w:t xml:space="preserve"> (2021)</w:t>
      </w:r>
    </w:p>
    <w:p w14:paraId="2DED8D5D" w14:textId="5559547D" w:rsidR="00AC4154" w:rsidRDefault="00AC4154" w:rsidP="00AC4154">
      <w:pPr>
        <w:pStyle w:val="ListParagraph"/>
        <w:numPr>
          <w:ilvl w:val="2"/>
          <w:numId w:val="1"/>
        </w:numPr>
      </w:pPr>
      <w:r>
        <w:t>Sun and Abraham (2020)</w:t>
      </w:r>
    </w:p>
    <w:p w14:paraId="5DF69BB6" w14:textId="77777777" w:rsidR="00AC4154" w:rsidRDefault="00AC4154" w:rsidP="00F903ED">
      <w:pPr>
        <w:pStyle w:val="ListParagraph"/>
        <w:numPr>
          <w:ilvl w:val="1"/>
          <w:numId w:val="1"/>
        </w:numPr>
      </w:pPr>
      <w:r>
        <w:t xml:space="preserve">Weighted cohort-time </w:t>
      </w:r>
      <w:proofErr w:type="spellStart"/>
      <w:r>
        <w:t>ATT:</w:t>
      </w:r>
    </w:p>
    <w:p w14:paraId="66F36B90" w14:textId="77777777" w:rsidR="00AC4154" w:rsidRDefault="00F903ED" w:rsidP="00AC4154">
      <w:pPr>
        <w:pStyle w:val="ListParagraph"/>
        <w:numPr>
          <w:ilvl w:val="2"/>
          <w:numId w:val="1"/>
        </w:numPr>
      </w:pPr>
      <w:r>
        <w:t>Sun</w:t>
      </w:r>
      <w:proofErr w:type="spellEnd"/>
      <w:r>
        <w:t xml:space="preserve"> and Abraham (2020) </w:t>
      </w:r>
    </w:p>
    <w:p w14:paraId="747633E2" w14:textId="6D9ACE90" w:rsidR="00F903ED" w:rsidRDefault="00F903ED" w:rsidP="00AC4154">
      <w:pPr>
        <w:pStyle w:val="ListParagraph"/>
        <w:numPr>
          <w:ilvl w:val="2"/>
          <w:numId w:val="1"/>
        </w:numPr>
      </w:pPr>
      <w:r>
        <w:t xml:space="preserve">Callaway and </w:t>
      </w:r>
      <w:proofErr w:type="spellStart"/>
      <w:r>
        <w:t>Sant’Anna</w:t>
      </w:r>
      <w:proofErr w:type="spellEnd"/>
      <w:r>
        <w:t xml:space="preserve"> (2020)</w:t>
      </w:r>
    </w:p>
    <w:p w14:paraId="244329C3" w14:textId="63C32197" w:rsidR="00F903ED" w:rsidRDefault="00F903ED" w:rsidP="00F903ED">
      <w:pPr>
        <w:pStyle w:val="ListParagraph"/>
        <w:numPr>
          <w:ilvl w:val="0"/>
          <w:numId w:val="1"/>
        </w:numPr>
      </w:pPr>
      <w:r>
        <w:t xml:space="preserve">Imputation </w:t>
      </w:r>
      <w:r w:rsidR="00AD1530">
        <w:t>estimators</w:t>
      </w:r>
    </w:p>
    <w:p w14:paraId="7C2A0A68" w14:textId="6FA68F1F" w:rsidR="00F903ED" w:rsidRDefault="00F903ED" w:rsidP="00AD1530">
      <w:pPr>
        <w:pStyle w:val="ListParagraph"/>
        <w:numPr>
          <w:ilvl w:val="1"/>
          <w:numId w:val="1"/>
        </w:numPr>
      </w:pPr>
      <w:proofErr w:type="spellStart"/>
      <w:r>
        <w:t>Barusyak</w:t>
      </w:r>
      <w:proofErr w:type="spellEnd"/>
      <w:r>
        <w:t xml:space="preserve">, </w:t>
      </w:r>
      <w:proofErr w:type="spellStart"/>
      <w:r>
        <w:t>Jaravel</w:t>
      </w:r>
      <w:proofErr w:type="spellEnd"/>
      <w:r>
        <w:t xml:space="preserve"> and </w:t>
      </w:r>
      <w:proofErr w:type="spellStart"/>
      <w:r>
        <w:t>Spiess</w:t>
      </w:r>
      <w:proofErr w:type="spellEnd"/>
      <w:r>
        <w:t xml:space="preserve"> (2021)</w:t>
      </w:r>
    </w:p>
    <w:p w14:paraId="39B72D17" w14:textId="61535F7E" w:rsidR="00F903ED" w:rsidRDefault="00F903ED" w:rsidP="00AD1530">
      <w:pPr>
        <w:pStyle w:val="ListParagraph"/>
        <w:numPr>
          <w:ilvl w:val="1"/>
          <w:numId w:val="1"/>
        </w:numPr>
      </w:pPr>
      <w:r>
        <w:t>Gardner (2021)</w:t>
      </w:r>
    </w:p>
    <w:p w14:paraId="68E30FAB" w14:textId="35BADB3B" w:rsidR="00B0148B" w:rsidRDefault="00B0148B" w:rsidP="00B0148B">
      <w:pPr>
        <w:pStyle w:val="ListParagraph"/>
        <w:numPr>
          <w:ilvl w:val="0"/>
          <w:numId w:val="1"/>
        </w:numPr>
      </w:pPr>
      <w:r>
        <w:t>Parallel trends</w:t>
      </w:r>
    </w:p>
    <w:p w14:paraId="790CB63D" w14:textId="38FD6DFF" w:rsidR="009945DF" w:rsidRPr="009D6748" w:rsidRDefault="009945DF" w:rsidP="009945DF">
      <w:pPr>
        <w:pStyle w:val="ListParagraph"/>
        <w:numPr>
          <w:ilvl w:val="1"/>
          <w:numId w:val="1"/>
        </w:numPr>
      </w:pPr>
      <w:r>
        <w:t>Pre-testing</w:t>
      </w:r>
      <w:r>
        <w:t xml:space="preserve">: </w:t>
      </w:r>
      <w:r>
        <w:t xml:space="preserve">Roth (2020) </w:t>
      </w:r>
    </w:p>
    <w:p w14:paraId="7A4C1303" w14:textId="5E8619F4" w:rsidR="00B0148B" w:rsidRDefault="00B0148B" w:rsidP="00B0148B">
      <w:pPr>
        <w:pStyle w:val="ListParagraph"/>
        <w:numPr>
          <w:ilvl w:val="1"/>
          <w:numId w:val="1"/>
        </w:numPr>
      </w:pPr>
      <w:r>
        <w:t xml:space="preserve">Parallel trends and functional forms: Roth and </w:t>
      </w:r>
      <w:proofErr w:type="spellStart"/>
      <w:r>
        <w:t>Sant’Anna</w:t>
      </w:r>
      <w:proofErr w:type="spellEnd"/>
      <w:r>
        <w:t xml:space="preserve"> (2021)</w:t>
      </w:r>
    </w:p>
    <w:p w14:paraId="5C7936AE" w14:textId="546E9D46" w:rsidR="00B0148B" w:rsidRDefault="009945DF" w:rsidP="00B0148B">
      <w:pPr>
        <w:pStyle w:val="ListParagraph"/>
        <w:numPr>
          <w:ilvl w:val="1"/>
          <w:numId w:val="1"/>
        </w:numPr>
      </w:pPr>
      <w:r>
        <w:t xml:space="preserve">Honest approaches: </w:t>
      </w:r>
      <w:proofErr w:type="spellStart"/>
      <w:r w:rsidR="00B0148B">
        <w:t>Rambachan</w:t>
      </w:r>
      <w:proofErr w:type="spellEnd"/>
      <w:r w:rsidR="00B0148B">
        <w:t xml:space="preserve"> and Roth (2020)</w:t>
      </w:r>
    </w:p>
    <w:p w14:paraId="6B4E0846" w14:textId="77777777" w:rsidR="00513FD2" w:rsidRDefault="00F903ED" w:rsidP="00513FD2">
      <w:pPr>
        <w:pStyle w:val="ListParagraph"/>
        <w:numPr>
          <w:ilvl w:val="0"/>
          <w:numId w:val="1"/>
        </w:numPr>
      </w:pPr>
      <w:r>
        <w:t xml:space="preserve">Fuzzy did and continuous treatments: </w:t>
      </w:r>
    </w:p>
    <w:p w14:paraId="4B0F1F2B" w14:textId="731798CE" w:rsidR="00F903ED" w:rsidRDefault="00F903ED" w:rsidP="00513FD2">
      <w:pPr>
        <w:pStyle w:val="ListParagraph"/>
        <w:numPr>
          <w:ilvl w:val="1"/>
          <w:numId w:val="1"/>
        </w:numPr>
      </w:pPr>
      <w:r>
        <w:t xml:space="preserve">de </w:t>
      </w:r>
      <w:proofErr w:type="spellStart"/>
      <w:r>
        <w:t>Chaisemartin</w:t>
      </w:r>
      <w:proofErr w:type="spellEnd"/>
      <w:r>
        <w:t xml:space="preserve"> and </w:t>
      </w:r>
      <w:proofErr w:type="spellStart"/>
      <w:r>
        <w:t>D’Haultfœille</w:t>
      </w:r>
      <w:proofErr w:type="spellEnd"/>
      <w:r>
        <w:t xml:space="preserve"> (2017)</w:t>
      </w:r>
    </w:p>
    <w:p w14:paraId="23732109" w14:textId="79157B57" w:rsidR="00F903ED" w:rsidRDefault="00F903ED" w:rsidP="00F903ED"/>
    <w:p w14:paraId="4829A4BA" w14:textId="7C232623" w:rsidR="00F903ED" w:rsidRDefault="002C7D35" w:rsidP="00F903ED">
      <w:r>
        <w:t xml:space="preserve">Others </w:t>
      </w:r>
      <w:r w:rsidR="007A542B">
        <w:t>we may study:</w:t>
      </w:r>
    </w:p>
    <w:p w14:paraId="43734915" w14:textId="788F808D" w:rsidR="00513FD2" w:rsidRDefault="00513FD2" w:rsidP="00F903ED">
      <w:proofErr w:type="spellStart"/>
      <w:r>
        <w:t>Athey</w:t>
      </w:r>
      <w:proofErr w:type="spellEnd"/>
      <w:r>
        <w:t>, et al. (2017) “Matrix completion for panel data”</w:t>
      </w:r>
    </w:p>
    <w:p w14:paraId="6B7B0CEA" w14:textId="2BA065EF" w:rsidR="007A542B" w:rsidRDefault="007A542B" w:rsidP="00F903ED">
      <w:proofErr w:type="spellStart"/>
      <w:r>
        <w:t>Athey</w:t>
      </w:r>
      <w:proofErr w:type="spellEnd"/>
      <w:r>
        <w:t xml:space="preserve"> and </w:t>
      </w:r>
      <w:proofErr w:type="spellStart"/>
      <w:r>
        <w:t>Imbens</w:t>
      </w:r>
      <w:proofErr w:type="spellEnd"/>
      <w:r>
        <w:t xml:space="preserve"> (2018) “Design-Based Analysis in Difference-in-differences</w:t>
      </w:r>
    </w:p>
    <w:p w14:paraId="52C59F10" w14:textId="3FCE1568" w:rsidR="00AF38B1" w:rsidRDefault="00AF38B1" w:rsidP="00F903ED">
      <w:proofErr w:type="spellStart"/>
      <w:r>
        <w:lastRenderedPageBreak/>
        <w:t>Athey</w:t>
      </w:r>
      <w:proofErr w:type="spellEnd"/>
      <w:r>
        <w:t xml:space="preserve"> and </w:t>
      </w:r>
      <w:proofErr w:type="spellStart"/>
      <w:r>
        <w:t>Imbens</w:t>
      </w:r>
      <w:proofErr w:type="spellEnd"/>
      <w:r>
        <w:t xml:space="preserve"> (2006) “Identification and inference in nonlinear difference in differences models” (the changes-in-changes estimator)</w:t>
      </w:r>
    </w:p>
    <w:p w14:paraId="60180A1A" w14:textId="7EC10561" w:rsidR="00AF38B1" w:rsidRDefault="00AF38B1" w:rsidP="00F903ED">
      <w:proofErr w:type="spellStart"/>
      <w:r>
        <w:t>Arkhangelsky</w:t>
      </w:r>
      <w:proofErr w:type="spellEnd"/>
      <w:r>
        <w:t>, et al. “Synthetic Difference in Differences”</w:t>
      </w:r>
    </w:p>
    <w:p w14:paraId="4DF852CC" w14:textId="4A8D3FFD" w:rsidR="00AC4154" w:rsidRDefault="00AC4154" w:rsidP="00F903ED"/>
    <w:p w14:paraId="4E17F125" w14:textId="77777777" w:rsidR="00AF38B1" w:rsidRDefault="00AF38B1" w:rsidP="00F903ED"/>
    <w:p w14:paraId="391B1407" w14:textId="77777777" w:rsidR="007A542B" w:rsidRDefault="007A542B" w:rsidP="00F903ED"/>
    <w:sectPr w:rsidR="007A5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007F7"/>
    <w:multiLevelType w:val="hybridMultilevel"/>
    <w:tmpl w:val="873230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48"/>
    <w:rsid w:val="0002702D"/>
    <w:rsid w:val="002C7D35"/>
    <w:rsid w:val="00513FD2"/>
    <w:rsid w:val="00652679"/>
    <w:rsid w:val="006C6C22"/>
    <w:rsid w:val="007A542B"/>
    <w:rsid w:val="009945DF"/>
    <w:rsid w:val="009D6748"/>
    <w:rsid w:val="00A45584"/>
    <w:rsid w:val="00AC4154"/>
    <w:rsid w:val="00AD1530"/>
    <w:rsid w:val="00AF38B1"/>
    <w:rsid w:val="00B0148B"/>
    <w:rsid w:val="00B47561"/>
    <w:rsid w:val="00F9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0D1C84"/>
  <w15:chartTrackingRefBased/>
  <w15:docId w15:val="{FB6F8B73-2920-CB4E-90B8-40F7BE03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6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3ED"/>
    <w:pPr>
      <w:ind w:left="720"/>
      <w:contextualSpacing/>
    </w:pPr>
  </w:style>
  <w:style w:type="character" w:styleId="Hyperlink">
    <w:name w:val="Hyperlink"/>
    <w:basedOn w:val="DefaultParagraphFont"/>
    <w:uiPriority w:val="99"/>
    <w:unhideWhenUsed/>
    <w:rsid w:val="00F903ED"/>
    <w:rPr>
      <w:color w:val="0563C1" w:themeColor="hyperlink"/>
      <w:u w:val="single"/>
    </w:rPr>
  </w:style>
  <w:style w:type="character" w:styleId="UnresolvedMention">
    <w:name w:val="Unresolved Mention"/>
    <w:basedOn w:val="DefaultParagraphFont"/>
    <w:uiPriority w:val="99"/>
    <w:semiHidden/>
    <w:unhideWhenUsed/>
    <w:rsid w:val="00F903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unning1975/codechella.git" TargetMode="External"/><Relationship Id="rId5" Type="http://schemas.openxmlformats.org/officeDocument/2006/relationships/hyperlink" Target="https://causalinf.substac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2021-05-26T22:58:00Z</dcterms:created>
  <dcterms:modified xsi:type="dcterms:W3CDTF">2021-05-26T22:58:00Z</dcterms:modified>
</cp:coreProperties>
</file>