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6269E" w14:textId="5F3CE507" w:rsidR="007A3FF3" w:rsidRPr="00C15295" w:rsidRDefault="00C15295" w:rsidP="00C15295">
      <w:pPr>
        <w:jc w:val="center"/>
        <w:rPr>
          <w:b/>
        </w:rPr>
      </w:pPr>
      <w:r w:rsidRPr="00C15295">
        <w:rPr>
          <w:b/>
        </w:rPr>
        <w:t>The impact of COVID-19 on the foundation and dissolution of charitable organisations</w:t>
      </w:r>
    </w:p>
    <w:p w14:paraId="1A4457A3" w14:textId="77777777" w:rsidR="00C15295" w:rsidRDefault="00C15295" w:rsidP="00C15295">
      <w:pPr>
        <w:jc w:val="center"/>
        <w:rPr>
          <w:vertAlign w:val="superscript"/>
        </w:rPr>
      </w:pPr>
      <w:r w:rsidRPr="00B44C9A">
        <w:t>Diarmuid McDonnell</w:t>
      </w:r>
      <w:r w:rsidRPr="00B44C9A">
        <w:rPr>
          <w:vertAlign w:val="superscript"/>
        </w:rPr>
        <w:t>1</w:t>
      </w:r>
      <w:r>
        <w:t xml:space="preserve"> and</w:t>
      </w:r>
      <w:r w:rsidRPr="00B44C9A">
        <w:t xml:space="preserve"> Alasdair Rutherford</w:t>
      </w:r>
      <w:r w:rsidRPr="00B44C9A">
        <w:rPr>
          <w:vertAlign w:val="superscript"/>
        </w:rPr>
        <w:t>2</w:t>
      </w:r>
    </w:p>
    <w:p w14:paraId="4AE2D2B1" w14:textId="77777777" w:rsidR="00C15295" w:rsidRDefault="00C15295" w:rsidP="00C15295"/>
    <w:p w14:paraId="7AB9BF44" w14:textId="77777777" w:rsidR="00C15295" w:rsidRDefault="00C15295" w:rsidP="00C15295">
      <w:r>
        <w:t xml:space="preserve">1. Research </w:t>
      </w:r>
      <w:r w:rsidR="0034681F">
        <w:t>Fellow</w:t>
      </w:r>
      <w:r>
        <w:t xml:space="preserve">. </w:t>
      </w:r>
      <w:r w:rsidR="0034681F">
        <w:t>Third Sector Research Centre</w:t>
      </w:r>
      <w:r>
        <w:t xml:space="preserve">, University of </w:t>
      </w:r>
      <w:r w:rsidR="0034681F">
        <w:t>Birmingham</w:t>
      </w:r>
      <w:r>
        <w:t>, UK (</w:t>
      </w:r>
      <w:r w:rsidR="0034681F">
        <w:t>d.mcdonnell.1</w:t>
      </w:r>
      <w:r>
        <w:t>@</w:t>
      </w:r>
      <w:r w:rsidR="0034681F">
        <w:t>bham</w:t>
      </w:r>
      <w:r>
        <w:t>.ac.uk).</w:t>
      </w:r>
    </w:p>
    <w:p w14:paraId="42EB9448" w14:textId="77777777" w:rsidR="00C15295" w:rsidRDefault="00C15295" w:rsidP="00C15295">
      <w:r>
        <w:t>2. Professor of Social Statistics. Faculty of Social Sciences, Colin Bell Building, University of Stirling, UK.</w:t>
      </w:r>
    </w:p>
    <w:p w14:paraId="62A45C4E" w14:textId="77777777" w:rsidR="00C15295" w:rsidRDefault="00C15295" w:rsidP="00C15295">
      <w:pPr>
        <w:jc w:val="center"/>
        <w:rPr>
          <w:b/>
        </w:rPr>
      </w:pPr>
      <w:r w:rsidRPr="00B44C9A">
        <w:rPr>
          <w:b/>
        </w:rPr>
        <w:t>Abstract</w:t>
      </w:r>
    </w:p>
    <w:p w14:paraId="3CC58F37" w14:textId="665E7020" w:rsidR="00D5732B" w:rsidRDefault="00C15295">
      <w:r>
        <w:t xml:space="preserve">COVID-19 represents an existential threat to many charitable organisations, while simultaneously spurring new, large-scale forms of voluntary activity (Macmillan, 2020). Using </w:t>
      </w:r>
      <w:r w:rsidR="002E27DE">
        <w:t>comprehensive</w:t>
      </w:r>
      <w:r w:rsidR="00A83F0B">
        <w:t xml:space="preserve"> publicly available data from </w:t>
      </w:r>
      <w:r w:rsidR="00D5732B">
        <w:t>UK regulators</w:t>
      </w:r>
      <w:r w:rsidR="00A83F0B">
        <w:t xml:space="preserve">, we examine the impact of COVID-19 on the foundation and dissolution of charitable organisations. We employ an “excess events” analytical approach, comparing the numbers of foundations and dissolutions </w:t>
      </w:r>
      <w:r w:rsidR="00A20C97">
        <w:t>in</w:t>
      </w:r>
      <w:r w:rsidR="00A83F0B">
        <w:t xml:space="preserve"> 2020 to what we would expect based on the trends from previous years. </w:t>
      </w:r>
      <w:r w:rsidR="00D5732B">
        <w:t xml:space="preserve">We examine variation in these trends by key organisational and geographic factors e.g., have some regions of </w:t>
      </w:r>
      <w:bookmarkStart w:id="0" w:name="_GoBack"/>
      <w:bookmarkEnd w:id="0"/>
      <w:r w:rsidR="00D5732B">
        <w:t>the UK suffered a steeper decline in new charities being founded? We also describe</w:t>
      </w:r>
      <w:r w:rsidR="00D2092E">
        <w:t xml:space="preserve"> the impact of CO</w:t>
      </w:r>
      <w:r w:rsidR="00A83F0B">
        <w:t>V</w:t>
      </w:r>
      <w:r w:rsidR="00D2092E">
        <w:t>I</w:t>
      </w:r>
      <w:r w:rsidR="00A83F0B">
        <w:t xml:space="preserve">D-19 </w:t>
      </w:r>
      <w:r w:rsidR="00D5732B">
        <w:t xml:space="preserve">on other charity </w:t>
      </w:r>
      <w:r w:rsidR="00A83F0B">
        <w:t xml:space="preserve">jurisdictions, as well as attempt to decompose the empirical patterns into two distinct but related factors: the level of applications for foundation and dissolution by charities; and the capacity of the charity regulators to process these applications. </w:t>
      </w:r>
    </w:p>
    <w:p w14:paraId="535AC9B4" w14:textId="77777777" w:rsidR="00D5732B" w:rsidRDefault="00D5732B"/>
    <w:p w14:paraId="5676077B" w14:textId="76110CCB" w:rsidR="0034681F" w:rsidRDefault="00D5732B">
      <w:r>
        <w:t xml:space="preserve">Funded by UK Research and Innovation Grant: </w:t>
      </w:r>
      <w:r w:rsidRPr="00D5732B">
        <w:t xml:space="preserve">ES/V004859/1  </w:t>
      </w:r>
      <w:r w:rsidR="0034681F">
        <w:br w:type="page"/>
      </w:r>
    </w:p>
    <w:p w14:paraId="0909F026" w14:textId="77777777" w:rsidR="0034681F" w:rsidRDefault="0034681F" w:rsidP="00C15295">
      <w:r>
        <w:lastRenderedPageBreak/>
        <w:t>COVID-19 represents an existential threat to many charitable organisations, while simultaneously spurring new, large-scale forms of voluntary activity (Macmillan, 2020).</w:t>
      </w:r>
    </w:p>
    <w:p w14:paraId="5D4E9BF3" w14:textId="77777777" w:rsidR="0034681F" w:rsidRDefault="0034681F" w:rsidP="00C15295">
      <w:pPr>
        <w:rPr>
          <w:b/>
        </w:rPr>
      </w:pPr>
      <w:r w:rsidRPr="0034681F">
        <w:rPr>
          <w:b/>
        </w:rPr>
        <w:t>Theory</w:t>
      </w:r>
    </w:p>
    <w:p w14:paraId="2BC19152" w14:textId="77777777" w:rsidR="0034681F" w:rsidRPr="0034681F" w:rsidRDefault="0034681F" w:rsidP="00C15295">
      <w:r>
        <w:t>[Why might understanding the impact on registrations and de-registrations be valuable/important?]</w:t>
      </w:r>
    </w:p>
    <w:p w14:paraId="3BF0BAAD" w14:textId="77777777" w:rsidR="0034681F" w:rsidRPr="0034681F" w:rsidRDefault="0034681F" w:rsidP="00C15295">
      <w:pPr>
        <w:rPr>
          <w:b/>
        </w:rPr>
      </w:pPr>
      <w:r w:rsidRPr="0034681F">
        <w:rPr>
          <w:b/>
        </w:rPr>
        <w:t>Impact of COVID-19 on charitable activity</w:t>
      </w:r>
    </w:p>
    <w:p w14:paraId="1D36480E" w14:textId="77777777" w:rsidR="0034681F" w:rsidRDefault="0034681F" w:rsidP="00C15295">
      <w:r>
        <w:t xml:space="preserve">[Summarise empirical evidence and </w:t>
      </w:r>
      <w:r w:rsidR="004D4A36">
        <w:t xml:space="preserve">maybe </w:t>
      </w:r>
      <w:r>
        <w:t>bring in some prognostications also.]</w:t>
      </w:r>
    </w:p>
    <w:p w14:paraId="46770652" w14:textId="73B2056B" w:rsidR="0034681F" w:rsidRPr="0034681F" w:rsidRDefault="0034681F" w:rsidP="00C15295">
      <w:pPr>
        <w:rPr>
          <w:b/>
        </w:rPr>
      </w:pPr>
      <w:r w:rsidRPr="0034681F">
        <w:rPr>
          <w:b/>
        </w:rPr>
        <w:t>Data</w:t>
      </w:r>
    </w:p>
    <w:p w14:paraId="5F3A4B55" w14:textId="69DF4E40" w:rsidR="0034681F" w:rsidRDefault="0034681F" w:rsidP="00C15295">
      <w:r>
        <w:t>Data for this study come from the publicly available charity registers of seven regulatory agencies: England and Wales (Charity Commission for England and Wales), Scotland (Scottish Charity Regulator), Northern Ireland (Charity Commission for Northern Ireland), Australia (Australian Charities and Not-for-profits Commission), New Zealand (Charities Services), Canada</w:t>
      </w:r>
      <w:r w:rsidR="00792C1C">
        <w:t xml:space="preserve"> (Canada Revenue Agency)</w:t>
      </w:r>
      <w:r>
        <w:t xml:space="preserve">, and United States of America (Internal Revenue Services). </w:t>
      </w:r>
      <w:r w:rsidR="00792C1C">
        <w:t xml:space="preserve">The charity registers were collected on [DATE] using a Python web scraping script that has been running </w:t>
      </w:r>
      <w:r w:rsidR="00C109AD">
        <w:t>on the 28</w:t>
      </w:r>
      <w:r w:rsidR="00C109AD" w:rsidRPr="00C109AD">
        <w:rPr>
          <w:vertAlign w:val="superscript"/>
        </w:rPr>
        <w:t>th</w:t>
      </w:r>
      <w:r w:rsidR="00C109AD">
        <w:t xml:space="preserve"> of each month </w:t>
      </w:r>
      <w:r w:rsidR="00792C1C">
        <w:t>since</w:t>
      </w:r>
      <w:r w:rsidR="00C109AD">
        <w:t xml:space="preserve"> August 2020</w:t>
      </w:r>
      <w:r w:rsidR="00792C1C">
        <w:t xml:space="preserve"> [DATE]. </w:t>
      </w:r>
    </w:p>
    <w:p w14:paraId="5A68EA06" w14:textId="0F86D967" w:rsidR="00792C1C" w:rsidRDefault="00792C1C" w:rsidP="00C15295">
      <w:r>
        <w:t xml:space="preserve">The charity registers are censuses of non-profit organisations that a) possess charity status and b) are registered with the relevant regulator. </w:t>
      </w:r>
      <w:commentRangeStart w:id="1"/>
      <w:r>
        <w:t xml:space="preserve">For some jurisdictions the register contains all organisations granted charity status (e.g., Scotland, New Zealand), while in others there are charitable organisations that operate </w:t>
      </w:r>
      <w:proofErr w:type="spellStart"/>
      <w:r>
        <w:t>outwith</w:t>
      </w:r>
      <w:proofErr w:type="spellEnd"/>
      <w:r>
        <w:t xml:space="preserve"> the oversight of the charity regulator (e.g., England and Wales, Northern Ireland).</w:t>
      </w:r>
      <w:commentRangeEnd w:id="1"/>
      <w:r>
        <w:rPr>
          <w:rStyle w:val="CommentReference"/>
        </w:rPr>
        <w:commentReference w:id="1"/>
      </w:r>
      <w:r>
        <w:t xml:space="preserve"> In most (all?) jurisdictions the regulator has a legal mandate to create, maintain and publish a charity register, thus we can be confident that these records are of sufficient quality for use in scholarly research (McDonnell and Rutherford, 2022).</w:t>
      </w:r>
    </w:p>
    <w:p w14:paraId="434EFDE3" w14:textId="5F580AA4" w:rsidR="00E57D78" w:rsidRPr="00E57D78" w:rsidRDefault="00E57D78" w:rsidP="00C15295">
      <w:pPr>
        <w:rPr>
          <w:b/>
        </w:rPr>
      </w:pPr>
      <w:r w:rsidRPr="00E57D78">
        <w:rPr>
          <w:b/>
        </w:rPr>
        <w:t>Method</w:t>
      </w:r>
    </w:p>
    <w:p w14:paraId="4F9D0E98" w14:textId="35506054" w:rsidR="00E57D78" w:rsidRDefault="001650AF" w:rsidP="00C15295">
      <w:r>
        <w:t>The main phenomen</w:t>
      </w:r>
      <w:r w:rsidR="00933EB5">
        <w:t>on</w:t>
      </w:r>
      <w:r>
        <w:t xml:space="preserve"> of interest is the impact </w:t>
      </w:r>
      <w:r w:rsidR="00933EB5">
        <w:t>the COVID-19 pandemic had on the registration of new charities and the de-registration of existing organisations. The pandemic is a once-in-a-century event and thus posited to alter the expected or ‘normal’ levels of registrations and de-registrations. To measure this impact, we draw upon the analytical approach for calculating the level of “excess deaths” resulting from COVID-19 (see ONS, YEAR; Healy, 2020). Applied to this study, the impact of the COVID-19 pandemic can be measured as the number of excess registrations and de-registrations observed in each of our seven jurisdictions.</w:t>
      </w:r>
      <w:r w:rsidR="00933EB5">
        <w:rPr>
          <w:rStyle w:val="FootnoteReference"/>
        </w:rPr>
        <w:footnoteReference w:id="1"/>
      </w:r>
      <w:r w:rsidR="00933EB5">
        <w:t xml:space="preserve"> We do this using the following steps:</w:t>
      </w:r>
    </w:p>
    <w:p w14:paraId="6A7DD4C3" w14:textId="760F5A81" w:rsidR="00933EB5" w:rsidRDefault="00933EB5" w:rsidP="00F67896">
      <w:pPr>
        <w:pStyle w:val="ListParagraph"/>
        <w:numPr>
          <w:ilvl w:val="0"/>
          <w:numId w:val="1"/>
        </w:numPr>
      </w:pPr>
      <w:r>
        <w:t>Measure observed numbers of registrations and de-registrations in 2020, annually and monthly.</w:t>
      </w:r>
    </w:p>
    <w:p w14:paraId="460FF682" w14:textId="1B06B84B" w:rsidR="00933EB5" w:rsidRDefault="00933EB5" w:rsidP="00F67896">
      <w:pPr>
        <w:pStyle w:val="ListParagraph"/>
        <w:numPr>
          <w:ilvl w:val="0"/>
          <w:numId w:val="1"/>
        </w:numPr>
      </w:pPr>
      <w:r>
        <w:t>Calculate average (mean) numbers of registrations and de-registrations for the period (2015-2019), annually and monthly.</w:t>
      </w:r>
    </w:p>
    <w:p w14:paraId="6BD8D1A3" w14:textId="140A272D" w:rsidR="00933EB5" w:rsidRDefault="00933EB5" w:rsidP="00F67896">
      <w:pPr>
        <w:pStyle w:val="ListParagraph"/>
        <w:numPr>
          <w:ilvl w:val="0"/>
          <w:numId w:val="1"/>
        </w:numPr>
      </w:pPr>
      <w:r>
        <w:t>Calculate different between observed and average (expected) numbers of registrations and de-registrations for 2020, annually and monthly.</w:t>
      </w:r>
    </w:p>
    <w:p w14:paraId="00AC684C" w14:textId="77777777" w:rsidR="009D37AE" w:rsidRDefault="00F67896">
      <w:r>
        <w:t xml:space="preserve">A limitation of this approach is that it does not take account of temporal trends in registrations and de-registrations. </w:t>
      </w:r>
      <w:r w:rsidR="0082385D">
        <w:t>For example, the number of registrations in [JURISDICTION] appear to be increasing over time (figure #).</w:t>
      </w:r>
      <w:r w:rsidR="009D37AE">
        <w:t xml:space="preserve"> To account for any temporal </w:t>
      </w:r>
      <w:proofErr w:type="gramStart"/>
      <w:r w:rsidR="009D37AE">
        <w:t>trends</w:t>
      </w:r>
      <w:proofErr w:type="gramEnd"/>
      <w:r w:rsidR="009D37AE">
        <w:t xml:space="preserve"> present in the data, we estimate expected numbers of registrations and de-registrations using a simple linear model of the form:</w:t>
      </w:r>
    </w:p>
    <w:p w14:paraId="4B50B8FC" w14:textId="77777777" w:rsidR="009D37AE" w:rsidRDefault="009D37AE" w:rsidP="009D37AE">
      <w:pPr>
        <w:jc w:val="center"/>
      </w:pPr>
      <w:proofErr w:type="spellStart"/>
      <w:r>
        <w:lastRenderedPageBreak/>
        <w:t>yt</w:t>
      </w:r>
      <w:proofErr w:type="spellEnd"/>
      <w:r>
        <w:t xml:space="preserve"> = a + yt-1 + t + e</w:t>
      </w:r>
    </w:p>
    <w:p w14:paraId="3FCB2D47" w14:textId="01592AC8" w:rsidR="009D37AE" w:rsidRPr="009D37AE" w:rsidRDefault="009D37AE" w:rsidP="009D37AE">
      <w:pPr>
        <w:pStyle w:val="ListParagraph"/>
        <w:numPr>
          <w:ilvl w:val="0"/>
          <w:numId w:val="2"/>
        </w:numPr>
        <w:rPr>
          <w:i/>
        </w:rPr>
      </w:pPr>
      <w:r>
        <w:t xml:space="preserve">where </w:t>
      </w:r>
      <w:proofErr w:type="spellStart"/>
      <w:r>
        <w:t>yt</w:t>
      </w:r>
      <w:proofErr w:type="spellEnd"/>
      <w:r>
        <w:t xml:space="preserve"> = event at time </w:t>
      </w:r>
      <w:r w:rsidRPr="009D37AE">
        <w:rPr>
          <w:i/>
        </w:rPr>
        <w:t>t</w:t>
      </w:r>
    </w:p>
    <w:p w14:paraId="54CAE01F" w14:textId="2EA75D7D" w:rsidR="009D37AE" w:rsidRDefault="009D37AE" w:rsidP="009D37AE">
      <w:pPr>
        <w:pStyle w:val="ListParagraph"/>
        <w:numPr>
          <w:ilvl w:val="0"/>
          <w:numId w:val="2"/>
        </w:numPr>
      </w:pPr>
      <w:r>
        <w:t>yt-1 = number of events in the previous period</w:t>
      </w:r>
    </w:p>
    <w:p w14:paraId="65BA625E" w14:textId="2705ADF5" w:rsidR="009D37AE" w:rsidRDefault="009D37AE" w:rsidP="009D37AE">
      <w:pPr>
        <w:pStyle w:val="ListParagraph"/>
        <w:numPr>
          <w:ilvl w:val="0"/>
          <w:numId w:val="2"/>
        </w:numPr>
      </w:pPr>
      <w:r>
        <w:t>t = period</w:t>
      </w:r>
    </w:p>
    <w:p w14:paraId="1FEF6859" w14:textId="69EB0AAE" w:rsidR="009D37AE" w:rsidRDefault="009D37AE" w:rsidP="009D37AE">
      <w:pPr>
        <w:pStyle w:val="ListParagraph"/>
        <w:numPr>
          <w:ilvl w:val="0"/>
          <w:numId w:val="2"/>
        </w:numPr>
      </w:pPr>
      <w:r>
        <w:t>e = error term</w:t>
      </w:r>
    </w:p>
    <w:p w14:paraId="790599E9" w14:textId="0988E52E" w:rsidR="009D37AE" w:rsidRPr="009D37AE" w:rsidRDefault="009D37AE">
      <w:r>
        <w:t>Thus e 2020 represents the difference between observed and expected events for a given year.</w:t>
      </w:r>
    </w:p>
    <w:p w14:paraId="3AFAD136" w14:textId="77777777" w:rsidR="009D37AE" w:rsidRPr="009D37AE" w:rsidRDefault="009D37AE">
      <w:pPr>
        <w:rPr>
          <w:i/>
        </w:rPr>
      </w:pPr>
      <w:r w:rsidRPr="009D37AE">
        <w:rPr>
          <w:i/>
        </w:rPr>
        <w:t>Worked example</w:t>
      </w:r>
    </w:p>
    <w:p w14:paraId="488429EF" w14:textId="27AF72FF" w:rsidR="009D37AE" w:rsidRDefault="009D37AE" w:rsidP="009D37AE">
      <w:r>
        <w:t>For example, let’s say there were 50 new charities registered in Scotland in January 2020 - is that number large or small, expected or unexpected based on previous figures for January?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37AE" w:rsidRPr="009D37AE" w14:paraId="2871EA7A" w14:textId="77777777" w:rsidTr="009D37AE">
        <w:tc>
          <w:tcPr>
            <w:tcW w:w="4508" w:type="dxa"/>
          </w:tcPr>
          <w:p w14:paraId="55A4CAFE" w14:textId="77777777" w:rsidR="009D37AE" w:rsidRPr="009D37AE" w:rsidRDefault="009D37AE" w:rsidP="002E4752">
            <w:r w:rsidRPr="009D37AE">
              <w:t>Month</w:t>
            </w:r>
          </w:p>
        </w:tc>
        <w:tc>
          <w:tcPr>
            <w:tcW w:w="4508" w:type="dxa"/>
          </w:tcPr>
          <w:p w14:paraId="2E0C49A4" w14:textId="77777777" w:rsidR="009D37AE" w:rsidRPr="009D37AE" w:rsidRDefault="009D37AE" w:rsidP="002E4752">
            <w:r w:rsidRPr="009D37AE">
              <w:t>Number of new charities</w:t>
            </w:r>
          </w:p>
        </w:tc>
      </w:tr>
      <w:tr w:rsidR="009D37AE" w:rsidRPr="009D37AE" w14:paraId="1A625A33" w14:textId="77777777" w:rsidTr="009D37AE">
        <w:tc>
          <w:tcPr>
            <w:tcW w:w="4508" w:type="dxa"/>
          </w:tcPr>
          <w:p w14:paraId="353D1241" w14:textId="77777777" w:rsidR="009D37AE" w:rsidRPr="009D37AE" w:rsidRDefault="009D37AE" w:rsidP="002E4752">
            <w:r w:rsidRPr="009D37AE">
              <w:t>January 2015</w:t>
            </w:r>
          </w:p>
        </w:tc>
        <w:tc>
          <w:tcPr>
            <w:tcW w:w="4508" w:type="dxa"/>
          </w:tcPr>
          <w:p w14:paraId="02F2097B" w14:textId="77777777" w:rsidR="009D37AE" w:rsidRPr="009D37AE" w:rsidRDefault="009D37AE" w:rsidP="002E4752">
            <w:r w:rsidRPr="009D37AE">
              <w:t>60</w:t>
            </w:r>
          </w:p>
        </w:tc>
      </w:tr>
      <w:tr w:rsidR="009D37AE" w:rsidRPr="009D37AE" w14:paraId="765C8C9E" w14:textId="77777777" w:rsidTr="009D37AE">
        <w:tc>
          <w:tcPr>
            <w:tcW w:w="4508" w:type="dxa"/>
          </w:tcPr>
          <w:p w14:paraId="4A2B17F1" w14:textId="77777777" w:rsidR="009D37AE" w:rsidRPr="009D37AE" w:rsidRDefault="009D37AE" w:rsidP="002E4752">
            <w:r w:rsidRPr="009D37AE">
              <w:t>January 2016</w:t>
            </w:r>
          </w:p>
        </w:tc>
        <w:tc>
          <w:tcPr>
            <w:tcW w:w="4508" w:type="dxa"/>
          </w:tcPr>
          <w:p w14:paraId="724258FB" w14:textId="77777777" w:rsidR="009D37AE" w:rsidRPr="009D37AE" w:rsidRDefault="009D37AE" w:rsidP="002E4752">
            <w:r w:rsidRPr="009D37AE">
              <w:t>55</w:t>
            </w:r>
          </w:p>
        </w:tc>
      </w:tr>
      <w:tr w:rsidR="009D37AE" w:rsidRPr="009D37AE" w14:paraId="19F98A77" w14:textId="77777777" w:rsidTr="009D37AE">
        <w:tc>
          <w:tcPr>
            <w:tcW w:w="4508" w:type="dxa"/>
          </w:tcPr>
          <w:p w14:paraId="578B77EB" w14:textId="77777777" w:rsidR="009D37AE" w:rsidRPr="009D37AE" w:rsidRDefault="009D37AE" w:rsidP="002E4752">
            <w:r w:rsidRPr="009D37AE">
              <w:t>January 2017</w:t>
            </w:r>
          </w:p>
        </w:tc>
        <w:tc>
          <w:tcPr>
            <w:tcW w:w="4508" w:type="dxa"/>
          </w:tcPr>
          <w:p w14:paraId="1C844937" w14:textId="77777777" w:rsidR="009D37AE" w:rsidRPr="009D37AE" w:rsidRDefault="009D37AE" w:rsidP="002E4752">
            <w:r w:rsidRPr="009D37AE">
              <w:t>82</w:t>
            </w:r>
          </w:p>
        </w:tc>
      </w:tr>
      <w:tr w:rsidR="009D37AE" w:rsidRPr="009D37AE" w14:paraId="4B9E9A06" w14:textId="77777777" w:rsidTr="009D37AE">
        <w:tc>
          <w:tcPr>
            <w:tcW w:w="4508" w:type="dxa"/>
          </w:tcPr>
          <w:p w14:paraId="1541B5A6" w14:textId="77777777" w:rsidR="009D37AE" w:rsidRPr="009D37AE" w:rsidRDefault="009D37AE" w:rsidP="002E4752">
            <w:r w:rsidRPr="009D37AE">
              <w:t>January 2018</w:t>
            </w:r>
          </w:p>
        </w:tc>
        <w:tc>
          <w:tcPr>
            <w:tcW w:w="4508" w:type="dxa"/>
          </w:tcPr>
          <w:p w14:paraId="14E2608C" w14:textId="77777777" w:rsidR="009D37AE" w:rsidRPr="009D37AE" w:rsidRDefault="009D37AE" w:rsidP="002E4752">
            <w:r w:rsidRPr="009D37AE">
              <w:t>65</w:t>
            </w:r>
          </w:p>
        </w:tc>
      </w:tr>
      <w:tr w:rsidR="009D37AE" w:rsidRPr="009D37AE" w14:paraId="0ADC12EA" w14:textId="77777777" w:rsidTr="009D37AE">
        <w:tc>
          <w:tcPr>
            <w:tcW w:w="4508" w:type="dxa"/>
          </w:tcPr>
          <w:p w14:paraId="1E87B6BE" w14:textId="77777777" w:rsidR="009D37AE" w:rsidRPr="009D37AE" w:rsidRDefault="009D37AE" w:rsidP="002E4752">
            <w:r w:rsidRPr="009D37AE">
              <w:t>January 2019</w:t>
            </w:r>
          </w:p>
        </w:tc>
        <w:tc>
          <w:tcPr>
            <w:tcW w:w="4508" w:type="dxa"/>
          </w:tcPr>
          <w:p w14:paraId="577A5357" w14:textId="77777777" w:rsidR="009D37AE" w:rsidRPr="009D37AE" w:rsidRDefault="009D37AE" w:rsidP="002E4752">
            <w:r w:rsidRPr="009D37AE">
              <w:t>75</w:t>
            </w:r>
          </w:p>
        </w:tc>
      </w:tr>
    </w:tbl>
    <w:p w14:paraId="024702CA" w14:textId="77777777" w:rsidR="00C064BC" w:rsidRDefault="00C064BC" w:rsidP="009D37AE"/>
    <w:p w14:paraId="1163D61D" w14:textId="77777777" w:rsidR="00C064BC" w:rsidRDefault="009D37AE" w:rsidP="009D37AE">
      <w:r>
        <w:t xml:space="preserve">The average number of new charities in January between 2015-2019 is: (60 + 55 + 82 + 65 + 75) / 5 = 67. </w:t>
      </w:r>
      <w:proofErr w:type="gramStart"/>
      <w:r>
        <w:t>So</w:t>
      </w:r>
      <w:proofErr w:type="gramEnd"/>
      <w:r>
        <w:t xml:space="preserve"> there are 17 fewer new charities in January 2020 compared to the average for 2015-2019. Of course, the figures for January vary each year, and thus we need to know if the figure for January 2020 falls outside the range of expected registrations for that month. </w:t>
      </w:r>
      <w:proofErr w:type="gramStart"/>
      <w:r>
        <w:t>Therefore</w:t>
      </w:r>
      <w:proofErr w:type="gramEnd"/>
      <w:r>
        <w:t xml:space="preserve"> we calculate the standard deviation of the average, which is 10, and use this to construct the range: 57 to 77 (i.e., 67 +- 10). </w:t>
      </w:r>
      <w:proofErr w:type="gramStart"/>
      <w:r>
        <w:t>So</w:t>
      </w:r>
      <w:proofErr w:type="gramEnd"/>
      <w:r>
        <w:t xml:space="preserve"> there are fewer new charities in January 2020 than we would expect.</w:t>
      </w:r>
    </w:p>
    <w:p w14:paraId="6B3E646B" w14:textId="77777777" w:rsidR="00C064BC" w:rsidRDefault="00C064BC">
      <w:r>
        <w:br w:type="page"/>
      </w:r>
    </w:p>
    <w:p w14:paraId="23EAB1D7" w14:textId="77777777" w:rsidR="00C064BC" w:rsidRDefault="00C064BC" w:rsidP="009D37AE">
      <w:pPr>
        <w:rPr>
          <w:b/>
        </w:rPr>
      </w:pPr>
      <w:r w:rsidRPr="00C064BC">
        <w:rPr>
          <w:b/>
        </w:rPr>
        <w:lastRenderedPageBreak/>
        <w:t>Results</w:t>
      </w:r>
    </w:p>
    <w:p w14:paraId="69F884F7" w14:textId="05132BED" w:rsidR="006241FA" w:rsidRDefault="006241FA" w:rsidP="009D37AE">
      <w:r w:rsidRPr="006241FA">
        <w:rPr>
          <w:b/>
        </w:rPr>
        <w:t>Figure #:</w:t>
      </w:r>
      <w:r>
        <w:t xml:space="preserve"> Number of registrations for seven charity jurisdictions, 2015-2020</w:t>
      </w:r>
    </w:p>
    <w:p w14:paraId="24687295" w14:textId="77777777" w:rsidR="00FE199B" w:rsidRDefault="006241FA" w:rsidP="009D37AE">
      <w:pPr>
        <w:rPr>
          <w:b/>
        </w:rPr>
      </w:pPr>
      <w:r>
        <w:rPr>
          <w:b/>
          <w:noProof/>
        </w:rPr>
        <w:drawing>
          <wp:inline distT="0" distB="0" distL="0" distR="0" wp14:anchorId="4058ACDE" wp14:editId="757DE5A0">
            <wp:extent cx="5731510" cy="4169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-jurisdictions-yearly-registrations-2021-02-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086D" w14:textId="77777777" w:rsidR="00FE199B" w:rsidRDefault="00FE199B" w:rsidP="009D37AE">
      <w:pPr>
        <w:rPr>
          <w:b/>
        </w:rPr>
      </w:pPr>
    </w:p>
    <w:p w14:paraId="1CE72095" w14:textId="20268901" w:rsidR="00FE199B" w:rsidRDefault="00FE199B" w:rsidP="00FE199B">
      <w:r w:rsidRPr="006241FA">
        <w:rPr>
          <w:b/>
        </w:rPr>
        <w:t>Figure #:</w:t>
      </w:r>
      <w:r>
        <w:t xml:space="preserve"> Number of de-registrations for seven charity jurisdictions, 2015-2020</w:t>
      </w:r>
    </w:p>
    <w:p w14:paraId="0162A630" w14:textId="27E587F8" w:rsidR="00265B48" w:rsidRDefault="00265B48" w:rsidP="00FE199B">
      <w:r>
        <w:rPr>
          <w:noProof/>
        </w:rPr>
        <w:lastRenderedPageBreak/>
        <w:drawing>
          <wp:inline distT="0" distB="0" distL="0" distR="0" wp14:anchorId="2B9E0D23" wp14:editId="72AC77F6">
            <wp:extent cx="5731510" cy="4169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-jurisdictions-yearly-removals-2021-02-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AA08" w14:textId="77777777" w:rsidR="00265B48" w:rsidRDefault="00265B48" w:rsidP="009D37AE">
      <w:pPr>
        <w:rPr>
          <w:b/>
        </w:rPr>
      </w:pPr>
    </w:p>
    <w:p w14:paraId="05E6C279" w14:textId="5D830683" w:rsidR="0034681F" w:rsidRPr="00C064BC" w:rsidRDefault="0034681F" w:rsidP="009D37AE">
      <w:pPr>
        <w:rPr>
          <w:b/>
        </w:rPr>
      </w:pPr>
      <w:r w:rsidRPr="00C064BC">
        <w:rPr>
          <w:b/>
        </w:rPr>
        <w:br w:type="page"/>
      </w:r>
    </w:p>
    <w:p w14:paraId="00BF4AB7" w14:textId="77777777" w:rsidR="00C15295" w:rsidRPr="0034681F" w:rsidRDefault="0034681F" w:rsidP="00C15295">
      <w:pPr>
        <w:rPr>
          <w:b/>
        </w:rPr>
      </w:pPr>
      <w:r w:rsidRPr="0034681F">
        <w:rPr>
          <w:b/>
        </w:rPr>
        <w:lastRenderedPageBreak/>
        <w:t>References</w:t>
      </w:r>
    </w:p>
    <w:p w14:paraId="5F2199FE" w14:textId="77777777" w:rsidR="00CF7598" w:rsidRDefault="0034681F" w:rsidP="00CF7598">
      <w:pPr>
        <w:ind w:left="720" w:hanging="720"/>
      </w:pPr>
      <w:r>
        <w:t xml:space="preserve">Macmillan, R. (2020). </w:t>
      </w:r>
      <w:r w:rsidRPr="00A83F0B">
        <w:t>Somewhere over the rainbow – third sector research in and beyond coronavirus</w:t>
      </w:r>
      <w:r>
        <w:t xml:space="preserve">. </w:t>
      </w:r>
      <w:r>
        <w:rPr>
          <w:i/>
        </w:rPr>
        <w:t>Voluntary Sector Review</w:t>
      </w:r>
      <w:r>
        <w:t xml:space="preserve">, </w:t>
      </w:r>
      <w:r w:rsidRPr="00A83F0B">
        <w:t>https://doi.org/10.1332/204080520X15898833964384</w:t>
      </w:r>
      <w:r>
        <w:t xml:space="preserve">. </w:t>
      </w:r>
    </w:p>
    <w:p w14:paraId="752BCEEA" w14:textId="34ACAACF" w:rsidR="0034681F" w:rsidRDefault="00CF7598" w:rsidP="00CF7598">
      <w:pPr>
        <w:ind w:left="720" w:hanging="720"/>
      </w:pPr>
      <w:r w:rsidRPr="00CF7598">
        <w:t xml:space="preserve">McDonnell, D., &amp; Rutherford, A. C. (2022). Researching risk in the voluntary sector: The challenges and opportunities of regulatory data. In J. Dean, E. Hogg (Eds.). </w:t>
      </w:r>
      <w:r w:rsidRPr="00CF7598">
        <w:rPr>
          <w:i/>
        </w:rPr>
        <w:t>Researching Voluntary Action: Innovations and Challenges</w:t>
      </w:r>
      <w:r w:rsidRPr="00CF7598">
        <w:t>. Bristol: Policy Press.</w:t>
      </w:r>
    </w:p>
    <w:sectPr w:rsidR="0034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iarmuid McDonnell (Social Policy, Sociology and Criminology)" w:date="2021-03-04T13:12:00Z" w:initials="DM(PSaC">
    <w:p w14:paraId="4C954D64" w14:textId="77777777" w:rsidR="00792C1C" w:rsidRDefault="00792C1C">
      <w:pPr>
        <w:pStyle w:val="CommentText"/>
      </w:pPr>
      <w:r>
        <w:rPr>
          <w:rStyle w:val="CommentReference"/>
        </w:rPr>
        <w:annotationRef/>
      </w:r>
      <w:r>
        <w:t>Make sure these claims are complete and watertight – perhaps a table for all jurisdictions.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954D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954D64" w16cid:durableId="23EB5B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0E276" w14:textId="77777777" w:rsidR="00BB2FA5" w:rsidRDefault="00BB2FA5" w:rsidP="00933EB5">
      <w:pPr>
        <w:spacing w:after="0" w:line="240" w:lineRule="auto"/>
      </w:pPr>
      <w:r>
        <w:separator/>
      </w:r>
    </w:p>
  </w:endnote>
  <w:endnote w:type="continuationSeparator" w:id="0">
    <w:p w14:paraId="5EEA3417" w14:textId="77777777" w:rsidR="00BB2FA5" w:rsidRDefault="00BB2FA5" w:rsidP="0093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9DD2A" w14:textId="77777777" w:rsidR="00BB2FA5" w:rsidRDefault="00BB2FA5" w:rsidP="00933EB5">
      <w:pPr>
        <w:spacing w:after="0" w:line="240" w:lineRule="auto"/>
      </w:pPr>
      <w:r>
        <w:separator/>
      </w:r>
    </w:p>
  </w:footnote>
  <w:footnote w:type="continuationSeparator" w:id="0">
    <w:p w14:paraId="28FF5C8B" w14:textId="77777777" w:rsidR="00BB2FA5" w:rsidRDefault="00BB2FA5" w:rsidP="00933EB5">
      <w:pPr>
        <w:spacing w:after="0" w:line="240" w:lineRule="auto"/>
      </w:pPr>
      <w:r>
        <w:continuationSeparator/>
      </w:r>
    </w:p>
  </w:footnote>
  <w:footnote w:id="1">
    <w:p w14:paraId="4C33C90D" w14:textId="78176A89" w:rsidR="00933EB5" w:rsidRDefault="00933EB5">
      <w:pPr>
        <w:pStyle w:val="FootnoteText"/>
      </w:pPr>
      <w:r>
        <w:rPr>
          <w:rStyle w:val="FootnoteReference"/>
        </w:rPr>
        <w:footnoteRef/>
      </w:r>
      <w:r>
        <w:t xml:space="preserve"> Note that excess events also </w:t>
      </w:r>
      <w:proofErr w:type="gramStart"/>
      <w:r>
        <w:t>captures</w:t>
      </w:r>
      <w:proofErr w:type="gramEnd"/>
      <w:r>
        <w:t xml:space="preserve"> a reduced level of registrations and de-registrations.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66C3D"/>
    <w:multiLevelType w:val="hybridMultilevel"/>
    <w:tmpl w:val="450C7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C4468"/>
    <w:multiLevelType w:val="hybridMultilevel"/>
    <w:tmpl w:val="F4CA8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armuid McDonnell (Social Policy, Sociology and Criminology)">
    <w15:presenceInfo w15:providerId="AD" w15:userId="S-1-5-21-1485377834-255806706-2738461858-10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295"/>
    <w:rsid w:val="00003989"/>
    <w:rsid w:val="001650AF"/>
    <w:rsid w:val="00265B48"/>
    <w:rsid w:val="002E27DE"/>
    <w:rsid w:val="0034681F"/>
    <w:rsid w:val="004D4A36"/>
    <w:rsid w:val="006241FA"/>
    <w:rsid w:val="00692827"/>
    <w:rsid w:val="00792C1C"/>
    <w:rsid w:val="007A3FF3"/>
    <w:rsid w:val="0082385D"/>
    <w:rsid w:val="008C18C5"/>
    <w:rsid w:val="00933EB5"/>
    <w:rsid w:val="009D37AE"/>
    <w:rsid w:val="00A20C97"/>
    <w:rsid w:val="00A83F0B"/>
    <w:rsid w:val="00B471AD"/>
    <w:rsid w:val="00BB2FA5"/>
    <w:rsid w:val="00C064BC"/>
    <w:rsid w:val="00C109AD"/>
    <w:rsid w:val="00C15295"/>
    <w:rsid w:val="00CF7598"/>
    <w:rsid w:val="00D2092E"/>
    <w:rsid w:val="00D5732B"/>
    <w:rsid w:val="00E57D78"/>
    <w:rsid w:val="00F67896"/>
    <w:rsid w:val="00F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D9DE"/>
  <w15:chartTrackingRefBased/>
  <w15:docId w15:val="{FEA0FE1A-1F66-4285-8ACA-7EB59DAE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92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C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C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C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C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1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E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E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EB5"/>
    <w:rPr>
      <w:vertAlign w:val="superscript"/>
    </w:rPr>
  </w:style>
  <w:style w:type="paragraph" w:styleId="ListParagraph">
    <w:name w:val="List Paragraph"/>
    <w:basedOn w:val="Normal"/>
    <w:uiPriority w:val="34"/>
    <w:qFormat/>
    <w:rsid w:val="00F67896"/>
    <w:pPr>
      <w:ind w:left="720"/>
      <w:contextualSpacing/>
    </w:pPr>
  </w:style>
  <w:style w:type="table" w:styleId="TableGrid">
    <w:name w:val="Table Grid"/>
    <w:basedOn w:val="TableNormal"/>
    <w:uiPriority w:val="39"/>
    <w:rsid w:val="009D3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A4D16-4A29-4F88-B49A-3A0B6BD70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Mcdonnell</dc:creator>
  <cp:keywords/>
  <dc:description/>
  <cp:lastModifiedBy>Diarmuid McDonnell (Social Policy, Sociology and Criminology)</cp:lastModifiedBy>
  <cp:revision>16</cp:revision>
  <dcterms:created xsi:type="dcterms:W3CDTF">2021-03-04T12:58:00Z</dcterms:created>
  <dcterms:modified xsi:type="dcterms:W3CDTF">2021-03-30T08:32:00Z</dcterms:modified>
</cp:coreProperties>
</file>