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C8A49" w14:textId="77777777" w:rsidR="005F36C9" w:rsidRPr="00667817" w:rsidRDefault="00C40E56" w:rsidP="0059716A">
      <w:pPr>
        <w:spacing w:line="480" w:lineRule="auto"/>
        <w:jc w:val="center"/>
        <w:rPr>
          <w:rFonts w:ascii="Times New Roman" w:hAnsi="Times New Roman" w:cs="Times New Roman"/>
          <w:b/>
          <w:sz w:val="28"/>
          <w:szCs w:val="28"/>
        </w:rPr>
      </w:pPr>
      <w:r w:rsidRPr="00667817">
        <w:rPr>
          <w:rFonts w:ascii="Times New Roman" w:hAnsi="Times New Roman" w:cs="Times New Roman"/>
          <w:b/>
          <w:sz w:val="28"/>
          <w:szCs w:val="28"/>
        </w:rPr>
        <w:t xml:space="preserve">Mission Accomplished? A Cross-national Examination of </w:t>
      </w:r>
      <w:r w:rsidR="005C1770" w:rsidRPr="00667817">
        <w:rPr>
          <w:rFonts w:ascii="Times New Roman" w:hAnsi="Times New Roman" w:cs="Times New Roman"/>
          <w:b/>
          <w:sz w:val="28"/>
          <w:szCs w:val="28"/>
        </w:rPr>
        <w:t xml:space="preserve">Charity </w:t>
      </w:r>
      <w:r w:rsidR="00286607" w:rsidRPr="00667817">
        <w:rPr>
          <w:rFonts w:ascii="Times New Roman" w:hAnsi="Times New Roman" w:cs="Times New Roman"/>
          <w:b/>
          <w:sz w:val="28"/>
          <w:szCs w:val="28"/>
        </w:rPr>
        <w:t>Dissolution</w:t>
      </w:r>
    </w:p>
    <w:p w14:paraId="640853D2" w14:textId="77777777" w:rsidR="006A4B28" w:rsidRPr="0059716A" w:rsidRDefault="006A4B28" w:rsidP="0059716A">
      <w:pPr>
        <w:spacing w:line="480" w:lineRule="auto"/>
        <w:jc w:val="center"/>
        <w:rPr>
          <w:rFonts w:ascii="Times New Roman" w:hAnsi="Times New Roman" w:cs="Times New Roman"/>
          <w:sz w:val="24"/>
          <w:szCs w:val="24"/>
          <w:vertAlign w:val="superscript"/>
        </w:rPr>
      </w:pPr>
      <w:r w:rsidRPr="0059716A">
        <w:rPr>
          <w:rFonts w:ascii="Times New Roman" w:hAnsi="Times New Roman" w:cs="Times New Roman"/>
          <w:sz w:val="24"/>
          <w:szCs w:val="24"/>
        </w:rPr>
        <w:t>Diarmuid McDonnell</w:t>
      </w:r>
      <w:r w:rsidR="00B118DC" w:rsidRPr="0059716A">
        <w:rPr>
          <w:rFonts w:ascii="Times New Roman" w:hAnsi="Times New Roman" w:cs="Times New Roman"/>
          <w:sz w:val="24"/>
          <w:szCs w:val="24"/>
          <w:vertAlign w:val="superscript"/>
        </w:rPr>
        <w:t>1</w:t>
      </w:r>
      <w:r w:rsidRPr="0059716A">
        <w:rPr>
          <w:rFonts w:ascii="Times New Roman" w:hAnsi="Times New Roman" w:cs="Times New Roman"/>
          <w:sz w:val="24"/>
          <w:szCs w:val="24"/>
        </w:rPr>
        <w:t>, Alasdair Rutherford</w:t>
      </w:r>
      <w:r w:rsidR="00B118DC" w:rsidRPr="0059716A">
        <w:rPr>
          <w:rFonts w:ascii="Times New Roman" w:hAnsi="Times New Roman" w:cs="Times New Roman"/>
          <w:sz w:val="24"/>
          <w:szCs w:val="24"/>
          <w:vertAlign w:val="superscript"/>
        </w:rPr>
        <w:t>2</w:t>
      </w:r>
      <w:r w:rsidRPr="0059716A">
        <w:rPr>
          <w:rFonts w:ascii="Times New Roman" w:hAnsi="Times New Roman" w:cs="Times New Roman"/>
          <w:sz w:val="24"/>
          <w:szCs w:val="24"/>
        </w:rPr>
        <w:t xml:space="preserve"> and Carolyn Cordery</w:t>
      </w:r>
      <w:r w:rsidR="00B118DC" w:rsidRPr="0059716A">
        <w:rPr>
          <w:rFonts w:ascii="Times New Roman" w:hAnsi="Times New Roman" w:cs="Times New Roman"/>
          <w:sz w:val="24"/>
          <w:szCs w:val="24"/>
          <w:vertAlign w:val="superscript"/>
        </w:rPr>
        <w:t>3</w:t>
      </w:r>
    </w:p>
    <w:p w14:paraId="0AFD4EC5" w14:textId="57544504" w:rsidR="006E0FEF" w:rsidRDefault="006E0FEF" w:rsidP="00667817">
      <w:pPr>
        <w:spacing w:line="480" w:lineRule="auto"/>
        <w:jc w:val="center"/>
        <w:rPr>
          <w:rFonts w:ascii="Times New Roman" w:hAnsi="Times New Roman" w:cs="Times New Roman"/>
          <w:i/>
          <w:sz w:val="24"/>
          <w:szCs w:val="24"/>
        </w:rPr>
      </w:pPr>
      <w:r w:rsidRPr="006E0FEF">
        <w:rPr>
          <w:rFonts w:ascii="Times New Roman" w:hAnsi="Times New Roman" w:cs="Times New Roman"/>
          <w:i/>
          <w:sz w:val="24"/>
          <w:szCs w:val="24"/>
        </w:rPr>
        <w:t>Prepared for the Association for Research on Nonprofit Organizations and Voluntary Action 2019 Annual Conference</w:t>
      </w:r>
    </w:p>
    <w:p w14:paraId="2EA89050" w14:textId="49674B9D" w:rsidR="00B118D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1. Research Fellow. Third Sector Research Center, School of Social Policy, University of Birmingham, UK (d.mcdonnell.1@bham.ac.uk).</w:t>
      </w:r>
    </w:p>
    <w:p w14:paraId="13B512AD" w14:textId="77777777" w:rsidR="00B118D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2. Professor of Social Statistics. Faculty of Social Sciences, Colin Bell Building, University of Stirling, UK.</w:t>
      </w:r>
    </w:p>
    <w:p w14:paraId="249A2083" w14:textId="77777777" w:rsidR="00B118D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3. Professor of Accounting. Department of Accounting, Aston Business School, UK.</w:t>
      </w:r>
    </w:p>
    <w:p w14:paraId="47DDF4C4" w14:textId="77777777" w:rsidR="006A4B28" w:rsidRPr="0059716A" w:rsidRDefault="006A4B28"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Abstract</w:t>
      </w:r>
    </w:p>
    <w:p w14:paraId="2903DF5E" w14:textId="58BFE89A" w:rsidR="00B118DC" w:rsidRPr="0059716A" w:rsidRDefault="00583AE7"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Encouraged by ‘open data’ movements, regulators have made it increasingly straightforward for stakeholders to access large-scale data about charities and their regulation. This research leverages some of these data resources to examine a topic of considerable public and regulatory importance: charity dissolution</w:t>
      </w:r>
      <w:r w:rsidR="00E22DA8">
        <w:rPr>
          <w:rFonts w:ascii="Times New Roman" w:hAnsi="Times New Roman" w:cs="Times New Roman"/>
          <w:sz w:val="24"/>
          <w:szCs w:val="24"/>
        </w:rPr>
        <w:t xml:space="preserve">, </w:t>
      </w:r>
      <w:r w:rsidR="007057A9">
        <w:rPr>
          <w:rFonts w:ascii="Times New Roman" w:hAnsi="Times New Roman" w:cs="Times New Roman"/>
          <w:sz w:val="24"/>
          <w:szCs w:val="24"/>
        </w:rPr>
        <w:t>including</w:t>
      </w:r>
      <w:r w:rsidR="00E22DA8">
        <w:rPr>
          <w:rFonts w:ascii="Times New Roman" w:hAnsi="Times New Roman" w:cs="Times New Roman"/>
          <w:sz w:val="24"/>
          <w:szCs w:val="24"/>
        </w:rPr>
        <w:t xml:space="preserve"> </w:t>
      </w:r>
      <w:r w:rsidR="00D74F58" w:rsidRPr="0059716A">
        <w:rPr>
          <w:rFonts w:ascii="Times New Roman" w:hAnsi="Times New Roman" w:cs="Times New Roman"/>
          <w:sz w:val="24"/>
          <w:szCs w:val="24"/>
        </w:rPr>
        <w:t xml:space="preserve">mission accomplishment. </w:t>
      </w:r>
      <w:r w:rsidRPr="0059716A">
        <w:rPr>
          <w:rFonts w:ascii="Times New Roman" w:hAnsi="Times New Roman" w:cs="Times New Roman"/>
          <w:sz w:val="24"/>
          <w:szCs w:val="24"/>
        </w:rPr>
        <w:t xml:space="preserve">The charity sector's claim to exist for the public good is no longer assumed and must be evidenced, however little is known about the extent to which charities accomplish their missions. </w:t>
      </w:r>
      <w:r w:rsidR="008E3214" w:rsidRPr="0059716A">
        <w:rPr>
          <w:rFonts w:ascii="Times New Roman" w:hAnsi="Times New Roman" w:cs="Times New Roman"/>
          <w:sz w:val="24"/>
          <w:szCs w:val="24"/>
        </w:rPr>
        <w:t xml:space="preserve">In this paper </w:t>
      </w:r>
      <w:r w:rsidR="00D74F58" w:rsidRPr="0059716A">
        <w:rPr>
          <w:rFonts w:ascii="Times New Roman" w:hAnsi="Times New Roman" w:cs="Times New Roman"/>
          <w:sz w:val="24"/>
          <w:szCs w:val="24"/>
        </w:rPr>
        <w:t xml:space="preserve">we describe continuing work to collect, clean, harmonise and analyse international data on charity dissolution. </w:t>
      </w:r>
      <w:r w:rsidR="00E907C2" w:rsidRPr="0059716A">
        <w:rPr>
          <w:rFonts w:ascii="Times New Roman" w:hAnsi="Times New Roman" w:cs="Times New Roman"/>
          <w:sz w:val="24"/>
          <w:szCs w:val="24"/>
        </w:rPr>
        <w:t>In doing so we</w:t>
      </w:r>
      <w:r w:rsidR="008E3214" w:rsidRPr="0059716A">
        <w:rPr>
          <w:rFonts w:ascii="Times New Roman" w:hAnsi="Times New Roman" w:cs="Times New Roman"/>
          <w:sz w:val="24"/>
          <w:szCs w:val="24"/>
        </w:rPr>
        <w:t xml:space="preserve"> identify real opportunities for interdisciplinary collaboration, combining accounting, social policy, law and data science in order to address important questions in novel ways.</w:t>
      </w:r>
    </w:p>
    <w:p w14:paraId="01F3C0E9" w14:textId="77777777" w:rsidR="004807DE" w:rsidRDefault="00B118DC" w:rsidP="004807DE">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Keywords: charity success, big data, open data, nonprofit </w:t>
      </w:r>
      <w:r w:rsidR="00320249" w:rsidRPr="0059716A">
        <w:rPr>
          <w:rFonts w:ascii="Times New Roman" w:hAnsi="Times New Roman" w:cs="Times New Roman"/>
          <w:sz w:val="24"/>
          <w:szCs w:val="24"/>
        </w:rPr>
        <w:t>dissolution</w:t>
      </w:r>
    </w:p>
    <w:p w14:paraId="149CDCA9" w14:textId="239CC0DD" w:rsidR="00AC328C" w:rsidRPr="0059716A" w:rsidRDefault="006E0FEF" w:rsidP="009C72BD">
      <w:pPr>
        <w:spacing w:line="480" w:lineRule="auto"/>
        <w:jc w:val="center"/>
        <w:rPr>
          <w:rFonts w:ascii="Times New Roman" w:hAnsi="Times New Roman" w:cs="Times New Roman"/>
          <w:sz w:val="24"/>
          <w:szCs w:val="24"/>
        </w:rPr>
      </w:pPr>
      <w:r>
        <w:rPr>
          <w:rFonts w:ascii="Times New Roman" w:hAnsi="Times New Roman" w:cs="Times New Roman"/>
          <w:b/>
          <w:sz w:val="24"/>
          <w:szCs w:val="24"/>
        </w:rPr>
        <w:br w:type="page"/>
      </w:r>
      <w:r w:rsidR="00AC328C" w:rsidRPr="0059716A">
        <w:rPr>
          <w:rFonts w:ascii="Times New Roman" w:hAnsi="Times New Roman" w:cs="Times New Roman"/>
          <w:b/>
          <w:sz w:val="24"/>
          <w:szCs w:val="24"/>
        </w:rPr>
        <w:lastRenderedPageBreak/>
        <w:t>Introduction</w:t>
      </w:r>
    </w:p>
    <w:p w14:paraId="0AA7137D" w14:textId="6ED1C4D0" w:rsidR="00D25202" w:rsidRPr="0059716A" w:rsidRDefault="00AC328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Nonprofit and specifically charity regulation is in flux. Stagnant or declining regulator budgets are the new normal and charities themselves are subject to increasing levels of public scrutiny. To meet these and other challenges, many regulators are shifting to an approach informed by risk assessment and analysis (McDonnell &amp; Rutherford, </w:t>
      </w:r>
      <w:r w:rsidR="005954FF">
        <w:rPr>
          <w:rFonts w:ascii="Times New Roman" w:hAnsi="Times New Roman" w:cs="Times New Roman"/>
          <w:sz w:val="24"/>
          <w:szCs w:val="24"/>
        </w:rPr>
        <w:t>2018</w:t>
      </w:r>
      <w:r w:rsidRPr="0059716A">
        <w:rPr>
          <w:rFonts w:ascii="Times New Roman" w:hAnsi="Times New Roman" w:cs="Times New Roman"/>
          <w:sz w:val="24"/>
          <w:szCs w:val="24"/>
        </w:rPr>
        <w:t>). This requires regulators to leverage their considerable data resources to better target their interventionist and advisory activities, and deliver their mandate. Until recently, relatively little nonprofit regulatory data was shared beyond lists of registered charities. Encouraged by increasing ‘open data’ movements, regulators have made it increasingly easier for stakeholders to access a range of both quantitative and qualitative data about charities and their regulation on a large scale. New nonprofit regulators are being formed, or reformed, and decisions are being taken about what data to collect, and how to</w:t>
      </w:r>
      <w:r w:rsidR="001841EA" w:rsidRPr="0059716A">
        <w:rPr>
          <w:rFonts w:ascii="Times New Roman" w:hAnsi="Times New Roman" w:cs="Times New Roman"/>
          <w:sz w:val="24"/>
          <w:szCs w:val="24"/>
        </w:rPr>
        <w:t xml:space="preserve"> use it (Cordery &amp; Deguchi, </w:t>
      </w:r>
      <w:r w:rsidR="00F652F9">
        <w:rPr>
          <w:rFonts w:ascii="Times New Roman" w:hAnsi="Times New Roman" w:cs="Times New Roman"/>
          <w:sz w:val="24"/>
          <w:szCs w:val="24"/>
        </w:rPr>
        <w:t>2018</w:t>
      </w:r>
      <w:r w:rsidR="001841EA" w:rsidRPr="0059716A">
        <w:rPr>
          <w:rFonts w:ascii="Times New Roman" w:hAnsi="Times New Roman" w:cs="Times New Roman"/>
          <w:sz w:val="24"/>
          <w:szCs w:val="24"/>
        </w:rPr>
        <w:t xml:space="preserve">). This paper describes ongoing work to </w:t>
      </w:r>
      <w:r w:rsidRPr="0059716A">
        <w:rPr>
          <w:rFonts w:ascii="Times New Roman" w:hAnsi="Times New Roman" w:cs="Times New Roman"/>
          <w:sz w:val="24"/>
          <w:szCs w:val="24"/>
        </w:rPr>
        <w:t xml:space="preserve">leverage some of these data resources to examine a topic of considerable public and regulatory importance: </w:t>
      </w:r>
      <w:r w:rsidR="001841EA" w:rsidRPr="0059716A">
        <w:rPr>
          <w:rFonts w:ascii="Times New Roman" w:hAnsi="Times New Roman" w:cs="Times New Roman"/>
          <w:sz w:val="24"/>
          <w:szCs w:val="24"/>
        </w:rPr>
        <w:t>charity dissolution due to mission accomplishment</w:t>
      </w:r>
      <w:r w:rsidRPr="0059716A">
        <w:rPr>
          <w:rFonts w:ascii="Times New Roman" w:hAnsi="Times New Roman" w:cs="Times New Roman"/>
          <w:sz w:val="24"/>
          <w:szCs w:val="24"/>
        </w:rPr>
        <w:t xml:space="preserve">. </w:t>
      </w:r>
      <w:r w:rsidR="001841EA" w:rsidRPr="0059716A">
        <w:rPr>
          <w:rFonts w:ascii="Times New Roman" w:hAnsi="Times New Roman" w:cs="Times New Roman"/>
          <w:sz w:val="24"/>
          <w:szCs w:val="24"/>
        </w:rPr>
        <w:t xml:space="preserve">There are many reasons charities </w:t>
      </w:r>
      <w:r w:rsidR="00C10A45">
        <w:rPr>
          <w:rFonts w:ascii="Times New Roman" w:hAnsi="Times New Roman" w:cs="Times New Roman"/>
          <w:sz w:val="24"/>
          <w:szCs w:val="24"/>
        </w:rPr>
        <w:t>cease operating</w:t>
      </w:r>
      <w:r w:rsidR="001841EA" w:rsidRPr="0059716A">
        <w:rPr>
          <w:rFonts w:ascii="Times New Roman" w:hAnsi="Times New Roman" w:cs="Times New Roman"/>
          <w:sz w:val="24"/>
          <w:szCs w:val="24"/>
        </w:rPr>
        <w:t xml:space="preserve"> (e.g. insufficient funds, non-compliance with legal requirements</w:t>
      </w:r>
      <w:r w:rsidR="007057A9">
        <w:rPr>
          <w:rFonts w:ascii="Times New Roman" w:hAnsi="Times New Roman" w:cs="Times New Roman"/>
          <w:sz w:val="24"/>
          <w:szCs w:val="24"/>
        </w:rPr>
        <w:t>, mission completion</w:t>
      </w:r>
      <w:r w:rsidR="001841EA" w:rsidRPr="0059716A">
        <w:rPr>
          <w:rFonts w:ascii="Times New Roman" w:hAnsi="Times New Roman" w:cs="Times New Roman"/>
          <w:sz w:val="24"/>
          <w:szCs w:val="24"/>
        </w:rPr>
        <w:t xml:space="preserve">), </w:t>
      </w:r>
      <w:r w:rsidR="007057A9">
        <w:rPr>
          <w:rFonts w:ascii="Times New Roman" w:hAnsi="Times New Roman" w:cs="Times New Roman"/>
          <w:sz w:val="24"/>
          <w:szCs w:val="24"/>
        </w:rPr>
        <w:t>and</w:t>
      </w:r>
      <w:r w:rsidR="001841EA" w:rsidRPr="0059716A">
        <w:rPr>
          <w:rFonts w:ascii="Times New Roman" w:hAnsi="Times New Roman" w:cs="Times New Roman"/>
          <w:sz w:val="24"/>
          <w:szCs w:val="24"/>
        </w:rPr>
        <w:t xml:space="preserve"> this </w:t>
      </w:r>
      <w:r w:rsidR="007057A9">
        <w:rPr>
          <w:rFonts w:ascii="Times New Roman" w:hAnsi="Times New Roman" w:cs="Times New Roman"/>
          <w:sz w:val="24"/>
          <w:szCs w:val="24"/>
        </w:rPr>
        <w:t>study provides a much-needed granular account of this outcome</w:t>
      </w:r>
      <w:r w:rsidR="001841EA" w:rsidRPr="0059716A">
        <w:rPr>
          <w:rFonts w:ascii="Times New Roman" w:hAnsi="Times New Roman" w:cs="Times New Roman"/>
          <w:sz w:val="24"/>
          <w:szCs w:val="24"/>
        </w:rPr>
        <w:t xml:space="preserve">. Given the increasing scrutiny on charitable organisations in many jurisdictions and the importance of public confidence to their sustainability (Breen, 2009; Keating &amp; Frumkin, 2003), research </w:t>
      </w:r>
      <w:r w:rsidR="00E907C2" w:rsidRPr="0059716A">
        <w:rPr>
          <w:rFonts w:ascii="Times New Roman" w:hAnsi="Times New Roman" w:cs="Times New Roman"/>
          <w:sz w:val="24"/>
          <w:szCs w:val="24"/>
        </w:rPr>
        <w:t>on this topic has the potential to make</w:t>
      </w:r>
      <w:r w:rsidR="001841EA" w:rsidRPr="0059716A">
        <w:rPr>
          <w:rFonts w:ascii="Times New Roman" w:hAnsi="Times New Roman" w:cs="Times New Roman"/>
          <w:sz w:val="24"/>
          <w:szCs w:val="24"/>
        </w:rPr>
        <w:t xml:space="preserve"> a significant contribution to the evidence base on charity success and failure</w:t>
      </w:r>
      <w:r w:rsidR="00E907C2" w:rsidRPr="0059716A">
        <w:rPr>
          <w:rFonts w:ascii="Times New Roman" w:hAnsi="Times New Roman" w:cs="Times New Roman"/>
          <w:sz w:val="24"/>
          <w:szCs w:val="24"/>
        </w:rPr>
        <w:t xml:space="preserve">, benefiting a variety of stakeholders including those with responsibility for </w:t>
      </w:r>
      <w:r w:rsidR="001841EA" w:rsidRPr="0059716A">
        <w:rPr>
          <w:rFonts w:ascii="Times New Roman" w:hAnsi="Times New Roman" w:cs="Times New Roman"/>
          <w:sz w:val="24"/>
          <w:szCs w:val="24"/>
        </w:rPr>
        <w:t>mon</w:t>
      </w:r>
      <w:r w:rsidR="005954FF">
        <w:rPr>
          <w:rFonts w:ascii="Times New Roman" w:hAnsi="Times New Roman" w:cs="Times New Roman"/>
          <w:sz w:val="24"/>
          <w:szCs w:val="24"/>
        </w:rPr>
        <w:t>itoring the sector (Saxton</w:t>
      </w:r>
      <w:r w:rsidR="001841EA" w:rsidRPr="0059716A">
        <w:rPr>
          <w:rFonts w:ascii="Times New Roman" w:hAnsi="Times New Roman" w:cs="Times New Roman"/>
          <w:sz w:val="24"/>
          <w:szCs w:val="24"/>
        </w:rPr>
        <w:t>,</w:t>
      </w:r>
      <w:r w:rsidR="005954FF">
        <w:rPr>
          <w:rFonts w:ascii="Times New Roman" w:hAnsi="Times New Roman" w:cs="Times New Roman"/>
          <w:sz w:val="24"/>
          <w:szCs w:val="24"/>
        </w:rPr>
        <w:t xml:space="preserve"> Kuo &amp; Ho,</w:t>
      </w:r>
      <w:r w:rsidR="001841EA" w:rsidRPr="0059716A">
        <w:rPr>
          <w:rFonts w:ascii="Times New Roman" w:hAnsi="Times New Roman" w:cs="Times New Roman"/>
          <w:sz w:val="24"/>
          <w:szCs w:val="24"/>
        </w:rPr>
        <w:t xml:space="preserve"> 2012).</w:t>
      </w:r>
    </w:p>
    <w:p w14:paraId="423FDB1A" w14:textId="5D024172" w:rsidR="00E907C2" w:rsidRDefault="004B13E1"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In this paper we report our initial work to collect, clean and analyse large-scale regulatory da</w:t>
      </w:r>
      <w:r w:rsidR="0094074E">
        <w:rPr>
          <w:rFonts w:ascii="Times New Roman" w:hAnsi="Times New Roman" w:cs="Times New Roman"/>
          <w:sz w:val="24"/>
          <w:szCs w:val="24"/>
        </w:rPr>
        <w:t xml:space="preserve">ta to advance the study of charity dissolution. We aim to achieve this in two ways: operationalising dissolution in a granular manner and thus identifying charities that achieved </w:t>
      </w:r>
      <w:r w:rsidR="0094074E">
        <w:rPr>
          <w:rFonts w:ascii="Times New Roman" w:hAnsi="Times New Roman" w:cs="Times New Roman"/>
          <w:sz w:val="24"/>
          <w:szCs w:val="24"/>
        </w:rPr>
        <w:lastRenderedPageBreak/>
        <w:t>their mission; and applying key theoretical frameworks to under-researched contexts (e.g. Oceania).</w:t>
      </w:r>
      <w:r w:rsidRPr="0059716A">
        <w:rPr>
          <w:rFonts w:ascii="Times New Roman" w:hAnsi="Times New Roman" w:cs="Times New Roman"/>
          <w:sz w:val="24"/>
          <w:szCs w:val="24"/>
        </w:rPr>
        <w:t xml:space="preserve"> We provide a repository of well-documented syntax files that researchers can use to reproduce the work undertaken in this project, and to generate their own datasets for analysis.</w:t>
      </w:r>
      <w:r w:rsidR="00E91456" w:rsidRPr="0059716A">
        <w:rPr>
          <w:rFonts w:ascii="Times New Roman" w:hAnsi="Times New Roman" w:cs="Times New Roman"/>
          <w:sz w:val="24"/>
          <w:szCs w:val="24"/>
        </w:rPr>
        <w:t xml:space="preserve"> </w:t>
      </w:r>
      <w:r w:rsidR="00E907C2" w:rsidRPr="0059716A">
        <w:rPr>
          <w:rFonts w:ascii="Times New Roman" w:hAnsi="Times New Roman" w:cs="Times New Roman"/>
          <w:sz w:val="24"/>
          <w:szCs w:val="24"/>
        </w:rPr>
        <w:t xml:space="preserve">The paper proceeds as follows. The next section </w:t>
      </w:r>
      <w:r w:rsidR="00E22DA8">
        <w:rPr>
          <w:rFonts w:ascii="Times New Roman" w:hAnsi="Times New Roman" w:cs="Times New Roman"/>
          <w:sz w:val="24"/>
          <w:szCs w:val="24"/>
        </w:rPr>
        <w:t xml:space="preserve">describes the study site: the New Zealand charity sector. Then we </w:t>
      </w:r>
      <w:r w:rsidR="00E907C2" w:rsidRPr="0059716A">
        <w:rPr>
          <w:rFonts w:ascii="Times New Roman" w:hAnsi="Times New Roman" w:cs="Times New Roman"/>
          <w:sz w:val="24"/>
          <w:szCs w:val="24"/>
        </w:rPr>
        <w:t xml:space="preserve">review scholarship on charity success and failure, revealing the empirical gap in our </w:t>
      </w:r>
      <w:r w:rsidR="006D0843" w:rsidRPr="0059716A">
        <w:rPr>
          <w:rFonts w:ascii="Times New Roman" w:hAnsi="Times New Roman" w:cs="Times New Roman"/>
          <w:sz w:val="24"/>
          <w:szCs w:val="24"/>
        </w:rPr>
        <w:t>understanding</w:t>
      </w:r>
      <w:r w:rsidR="00E907C2" w:rsidRPr="0059716A">
        <w:rPr>
          <w:rFonts w:ascii="Times New Roman" w:hAnsi="Times New Roman" w:cs="Times New Roman"/>
          <w:sz w:val="24"/>
          <w:szCs w:val="24"/>
        </w:rPr>
        <w:t xml:space="preserve"> of </w:t>
      </w:r>
      <w:r w:rsidR="007057A9">
        <w:rPr>
          <w:rFonts w:ascii="Times New Roman" w:hAnsi="Times New Roman" w:cs="Times New Roman"/>
          <w:sz w:val="24"/>
          <w:szCs w:val="24"/>
        </w:rPr>
        <w:t xml:space="preserve">dissolution, especially </w:t>
      </w:r>
      <w:r w:rsidR="00E907C2" w:rsidRPr="0059716A">
        <w:rPr>
          <w:rFonts w:ascii="Times New Roman" w:hAnsi="Times New Roman" w:cs="Times New Roman"/>
          <w:sz w:val="24"/>
          <w:szCs w:val="24"/>
        </w:rPr>
        <w:t xml:space="preserve">mission accomplishment. Next we describe the methodology underpinning the research, in particular focusing on the key issues of defining and measuring the dependent variable, and the data collection process. We present some preliminary findings, and reflect on the advantages and disadvantages of employing large-scale regulatory data to study this outcome. We conclude by outlining our plans for </w:t>
      </w:r>
      <w:r w:rsidR="00A93D20" w:rsidRPr="0059716A">
        <w:rPr>
          <w:rFonts w:ascii="Times New Roman" w:hAnsi="Times New Roman" w:cs="Times New Roman"/>
          <w:sz w:val="24"/>
          <w:szCs w:val="24"/>
        </w:rPr>
        <w:t>developing this research</w:t>
      </w:r>
      <w:r w:rsidR="00E907C2" w:rsidRPr="0059716A">
        <w:rPr>
          <w:rFonts w:ascii="Times New Roman" w:hAnsi="Times New Roman" w:cs="Times New Roman"/>
          <w:sz w:val="24"/>
          <w:szCs w:val="24"/>
        </w:rPr>
        <w:t xml:space="preserve">. </w:t>
      </w:r>
    </w:p>
    <w:p w14:paraId="1E42D8C1" w14:textId="2D44FB08" w:rsidR="00E22DA8" w:rsidRPr="0059716A" w:rsidRDefault="00E22DA8" w:rsidP="00E22DA8">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New Zealand</w:t>
      </w:r>
      <w:r w:rsidR="007057A9">
        <w:rPr>
          <w:rFonts w:ascii="Times New Roman" w:hAnsi="Times New Roman" w:cs="Times New Roman"/>
          <w:b/>
          <w:sz w:val="24"/>
          <w:szCs w:val="24"/>
        </w:rPr>
        <w:t xml:space="preserve"> Charity Regulation and Reporting</w:t>
      </w:r>
    </w:p>
    <w:p w14:paraId="05821891" w14:textId="43BD2758" w:rsidR="00E22DA8" w:rsidRDefault="00E22DA8" w:rsidP="00E22DA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charity regulator in New Zealand began in mid-2007, having been established under the Charities Act 2005. While it began as an Autonomous Crown Entity, since 2012, it has been situated within a large government department (Cordery &amp; Deguchi, 2018). Charities have always been required to report annually to retain their registration and this includes details of the sector, main beneficiaries, updated </w:t>
      </w:r>
      <w:r w:rsidR="007057A9">
        <w:rPr>
          <w:rFonts w:ascii="Times New Roman" w:hAnsi="Times New Roman" w:cs="Times New Roman"/>
          <w:sz w:val="24"/>
          <w:szCs w:val="24"/>
        </w:rPr>
        <w:t xml:space="preserve">list of </w:t>
      </w:r>
      <w:r>
        <w:rPr>
          <w:rFonts w:ascii="Times New Roman" w:hAnsi="Times New Roman" w:cs="Times New Roman"/>
          <w:sz w:val="24"/>
          <w:szCs w:val="24"/>
        </w:rPr>
        <w:t>officer</w:t>
      </w:r>
      <w:r w:rsidR="007057A9">
        <w:rPr>
          <w:rFonts w:ascii="Times New Roman" w:hAnsi="Times New Roman" w:cs="Times New Roman"/>
          <w:sz w:val="24"/>
          <w:szCs w:val="24"/>
        </w:rPr>
        <w:t>s</w:t>
      </w:r>
      <w:r>
        <w:rPr>
          <w:rFonts w:ascii="Times New Roman" w:hAnsi="Times New Roman" w:cs="Times New Roman"/>
          <w:sz w:val="24"/>
          <w:szCs w:val="24"/>
        </w:rPr>
        <w:t>/trustees and financial reporting. No specific financial accounting standards had been developed and therefore charity reporting was previously highly diverse. From 2009-2011, accounting requirements for the public and private sectors were overhauled owing to a need for a more strategic approach to reporting and the new arrangements included a full set of standards for the charity sector (with increasing levels of measurement and disclosure based on four different tiers</w:t>
      </w:r>
      <w:r w:rsidR="007057A9">
        <w:rPr>
          <w:rFonts w:ascii="Times New Roman" w:hAnsi="Times New Roman" w:cs="Times New Roman"/>
          <w:sz w:val="24"/>
          <w:szCs w:val="24"/>
        </w:rPr>
        <w:t xml:space="preserve"> related to annual expenditure); </w:t>
      </w:r>
      <w:r>
        <w:rPr>
          <w:rFonts w:ascii="Times New Roman" w:hAnsi="Times New Roman" w:cs="Times New Roman"/>
          <w:sz w:val="24"/>
          <w:szCs w:val="24"/>
        </w:rPr>
        <w:t>these new charity</w:t>
      </w:r>
      <w:r w:rsidRPr="00F652F9">
        <w:rPr>
          <w:rFonts w:ascii="Times New Roman" w:hAnsi="Times New Roman" w:cs="Times New Roman"/>
          <w:sz w:val="24"/>
          <w:szCs w:val="24"/>
        </w:rPr>
        <w:t xml:space="preserve"> accounting standards </w:t>
      </w:r>
      <w:r>
        <w:rPr>
          <w:rFonts w:ascii="Times New Roman" w:hAnsi="Times New Roman" w:cs="Times New Roman"/>
          <w:sz w:val="24"/>
          <w:szCs w:val="24"/>
        </w:rPr>
        <w:t>were</w:t>
      </w:r>
      <w:r w:rsidRPr="00F652F9">
        <w:rPr>
          <w:rFonts w:ascii="Times New Roman" w:hAnsi="Times New Roman" w:cs="Times New Roman"/>
          <w:sz w:val="24"/>
          <w:szCs w:val="24"/>
        </w:rPr>
        <w:t xml:space="preserve"> mandatory for all charities from 2016. </w:t>
      </w:r>
      <w:r w:rsidRPr="00B52A7E">
        <w:rPr>
          <w:rFonts w:ascii="Times New Roman" w:hAnsi="Times New Roman" w:cs="Times New Roman"/>
          <w:sz w:val="24"/>
          <w:szCs w:val="24"/>
        </w:rPr>
        <w:t xml:space="preserve">Charities with expenditure over NZD1 million must have these statements audited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{"citationItems":[{"id":"ITEM-1","itemData":{"ISBN":"9780992820503","abstract":"Key Findings • The majority of survey respondents (72%) indicated that they thought it would be useful to have international standards for financial reporting by not-for-profit organisations (NPOs) – though respondents interpreted the term ‘standards’ in different ways. • Many respondents, especially those involved with NPOs operating in developing countries, would welcome a standard if it could contribute to resolving the diverse and inconsistent demands from funders. • However, 14% were opposed to an international NPO standard. The strongest objections appear to come from countries such as the UK, which already have well developed frameworks for NPO accounting. • This report is the first step towards establishing whether or not there is a case for developing harmonised international standards for NPO financial reporting. • Much more analysis and discussion will be needed between interested parties: the findings presented in this report have the potential to inform the debate and move that discussion forward.","author":[{"dropping-particle":"","family":"Crawford","given":"Louise","non-dropping-particle":"","parse-names":false,"suffix":""},{"dropping-particle":"","family":"Morgan","given":"Gareth G","non-dropping-particle":"","parse-names":false,"suffix":""},{"dropping-particle":"","family":"Cordery","given":"Carolyn J","non-dropping-particle":"","parse-names":false,"suffix":""},{"dropping-particle":"","family":"Breen","given":"Oonagh B","non-dropping-particle":"","parse-names":false,"suffix":""}],"id":"ITEM-1","issue":"February","issued":{"date-parts":[["2014"]]},"number-of-pages":"137","publisher-place":"London, UK","title":"International financial reporting for the not-for-profit sector: a study commissioned by the CCAB","type":"report"},"uris":["http://www.mendeley.com/documents/?uuid=4d184d04-f786-4625-835d-667c76c93867"]}],"mendeley":{"formattedCitation":"(Crawford, Morgan, Cordery, &amp; Breen, 2014)","plainTextFormattedCitation":"(Crawford, Morgan, Cordery, &amp; Breen, 2014)","previouslyFormattedCitation":"(Crawford, Morgan, Cordery, &amp; Breen, 2014)"},"properties":{"noteIndex":0},"schema":"https://github.com/citation-style-language/schema/raw/master/csl-citation.json"}</w:instrText>
      </w:r>
      <w:r>
        <w:rPr>
          <w:rFonts w:ascii="Times New Roman" w:hAnsi="Times New Roman" w:cs="Times New Roman"/>
          <w:sz w:val="24"/>
          <w:szCs w:val="24"/>
        </w:rPr>
        <w:fldChar w:fldCharType="separate"/>
      </w:r>
      <w:r w:rsidRPr="00B52A7E">
        <w:rPr>
          <w:rFonts w:ascii="Times New Roman" w:hAnsi="Times New Roman" w:cs="Times New Roman"/>
          <w:noProof/>
          <w:sz w:val="24"/>
          <w:szCs w:val="24"/>
        </w:rPr>
        <w:t xml:space="preserve">(Crawford, Morgan, Cordery, </w:t>
      </w:r>
      <w:r w:rsidR="00756D7A" w:rsidRPr="00B52A7E">
        <w:rPr>
          <w:rFonts w:ascii="Times New Roman" w:hAnsi="Times New Roman" w:cs="Times New Roman"/>
          <w:noProof/>
          <w:sz w:val="24"/>
          <w:szCs w:val="24"/>
        </w:rPr>
        <w:t>Breen</w:t>
      </w:r>
      <w:r w:rsidR="00756D7A">
        <w:rPr>
          <w:rFonts w:ascii="Times New Roman" w:hAnsi="Times New Roman" w:cs="Times New Roman"/>
          <w:noProof/>
          <w:sz w:val="24"/>
          <w:szCs w:val="24"/>
        </w:rPr>
        <w:t xml:space="preserve">, Sheikh, Suyanto </w:t>
      </w:r>
      <w:r w:rsidR="00756D7A" w:rsidRPr="00756D7A">
        <w:rPr>
          <w:rFonts w:ascii="Times New Roman" w:hAnsi="Times New Roman" w:cs="Times New Roman"/>
          <w:noProof/>
          <w:sz w:val="24"/>
          <w:szCs w:val="24"/>
        </w:rPr>
        <w:t>&amp; Yekini</w:t>
      </w:r>
      <w:r w:rsidRPr="00B52A7E">
        <w:rPr>
          <w:rFonts w:ascii="Times New Roman" w:hAnsi="Times New Roman" w:cs="Times New Roman"/>
          <w:noProof/>
          <w:sz w:val="24"/>
          <w:szCs w:val="24"/>
        </w:rPr>
        <w:t>, 2014)</w:t>
      </w:r>
      <w:r>
        <w:rPr>
          <w:rFonts w:ascii="Times New Roman" w:hAnsi="Times New Roman" w:cs="Times New Roman"/>
          <w:sz w:val="24"/>
          <w:szCs w:val="24"/>
        </w:rPr>
        <w:fldChar w:fldCharType="end"/>
      </w:r>
      <w:r w:rsidRPr="00B52A7E">
        <w:rPr>
          <w:rFonts w:ascii="Times New Roman" w:hAnsi="Times New Roman" w:cs="Times New Roman"/>
          <w:sz w:val="24"/>
          <w:szCs w:val="24"/>
        </w:rPr>
        <w:t>.</w:t>
      </w:r>
      <w:r>
        <w:rPr>
          <w:rFonts w:ascii="Times New Roman" w:hAnsi="Times New Roman" w:cs="Times New Roman"/>
          <w:sz w:val="24"/>
          <w:szCs w:val="24"/>
        </w:rPr>
        <w:t xml:space="preserve"> </w:t>
      </w:r>
      <w:r w:rsidR="00D93FCE" w:rsidRPr="00D93FCE">
        <w:rPr>
          <w:rFonts w:ascii="Times New Roman" w:hAnsi="Times New Roman" w:cs="Times New Roman"/>
          <w:sz w:val="24"/>
          <w:szCs w:val="24"/>
        </w:rPr>
        <w:t xml:space="preserve">For charities with </w:t>
      </w:r>
      <w:r w:rsidR="00D93FCE" w:rsidRPr="00D93FCE">
        <w:rPr>
          <w:rFonts w:ascii="Times New Roman" w:hAnsi="Times New Roman" w:cs="Times New Roman"/>
          <w:sz w:val="24"/>
          <w:szCs w:val="24"/>
        </w:rPr>
        <w:lastRenderedPageBreak/>
        <w:t>expenditure of less than NZD</w:t>
      </w:r>
      <w:r w:rsidR="00D93FCE">
        <w:rPr>
          <w:rFonts w:ascii="Times New Roman" w:hAnsi="Times New Roman" w:cs="Times New Roman"/>
          <w:sz w:val="24"/>
          <w:szCs w:val="24"/>
        </w:rPr>
        <w:t>2 million, in addition to finan</w:t>
      </w:r>
      <w:r w:rsidR="00D93FCE" w:rsidRPr="00D93FCE">
        <w:rPr>
          <w:rFonts w:ascii="Times New Roman" w:hAnsi="Times New Roman" w:cs="Times New Roman"/>
          <w:sz w:val="24"/>
          <w:szCs w:val="24"/>
        </w:rPr>
        <w:t>c</w:t>
      </w:r>
      <w:r w:rsidR="00D93FCE">
        <w:rPr>
          <w:rFonts w:ascii="Times New Roman" w:hAnsi="Times New Roman" w:cs="Times New Roman"/>
          <w:sz w:val="24"/>
          <w:szCs w:val="24"/>
        </w:rPr>
        <w:t>i</w:t>
      </w:r>
      <w:r w:rsidR="00D93FCE" w:rsidRPr="00D93FCE">
        <w:rPr>
          <w:rFonts w:ascii="Times New Roman" w:hAnsi="Times New Roman" w:cs="Times New Roman"/>
          <w:sz w:val="24"/>
          <w:szCs w:val="24"/>
        </w:rPr>
        <w:t>al data, they must also provide performance information about the difference they make by operating, i.e. how they have achieved (or otherwise) their mission. Such reporting will also be required of larger charities from 2021 (McConville &amp; Cordery, 2018)</w:t>
      </w:r>
      <w:r w:rsidR="00213304">
        <w:rPr>
          <w:rFonts w:ascii="Times New Roman" w:hAnsi="Times New Roman" w:cs="Times New Roman"/>
          <w:sz w:val="24"/>
          <w:szCs w:val="24"/>
        </w:rPr>
        <w:t>.</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p>
    <w:p w14:paraId="26C5461E" w14:textId="6F24D484" w:rsidR="00AC328C" w:rsidRPr="0059716A" w:rsidRDefault="00E22DA8" w:rsidP="00D93FCE">
      <w:pPr>
        <w:spacing w:line="480" w:lineRule="auto"/>
        <w:jc w:val="center"/>
        <w:rPr>
          <w:rFonts w:ascii="Times New Roman" w:hAnsi="Times New Roman" w:cs="Times New Roman"/>
          <w:b/>
          <w:sz w:val="24"/>
          <w:szCs w:val="24"/>
        </w:rPr>
      </w:pPr>
      <w:r>
        <w:rPr>
          <w:rFonts w:ascii="Times New Roman" w:hAnsi="Times New Roman" w:cs="Times New Roman"/>
          <w:sz w:val="24"/>
          <w:szCs w:val="24"/>
        </w:rPr>
        <w:fldChar w:fldCharType="end"/>
      </w:r>
      <w:r w:rsidR="0094074E">
        <w:rPr>
          <w:rFonts w:ascii="Times New Roman" w:hAnsi="Times New Roman" w:cs="Times New Roman"/>
          <w:b/>
          <w:sz w:val="24"/>
          <w:szCs w:val="24"/>
        </w:rPr>
        <w:t>Understanding Charity Dissolution</w:t>
      </w:r>
    </w:p>
    <w:p w14:paraId="61E3FD7E" w14:textId="69B7E8D1" w:rsidR="00722536" w:rsidRPr="0059716A" w:rsidRDefault="00354A01" w:rsidP="0059716A">
      <w:pPr>
        <w:spacing w:line="480" w:lineRule="auto"/>
        <w:rPr>
          <w:rFonts w:ascii="Times New Roman" w:hAnsi="Times New Roman" w:cs="Times New Roman"/>
          <w:b/>
          <w:sz w:val="24"/>
          <w:szCs w:val="24"/>
        </w:rPr>
      </w:pPr>
      <w:r>
        <w:rPr>
          <w:rFonts w:ascii="Times New Roman" w:hAnsi="Times New Roman" w:cs="Times New Roman"/>
          <w:b/>
          <w:sz w:val="24"/>
          <w:szCs w:val="24"/>
        </w:rPr>
        <w:t>Conceptual challenges</w:t>
      </w:r>
    </w:p>
    <w:p w14:paraId="791FC649" w14:textId="252FB808" w:rsidR="00A93D20" w:rsidRDefault="000D17A5" w:rsidP="0059716A">
      <w:pPr>
        <w:spacing w:line="480" w:lineRule="auto"/>
        <w:rPr>
          <w:rFonts w:ascii="Times New Roman" w:hAnsi="Times New Roman" w:cs="Times New Roman"/>
          <w:sz w:val="24"/>
          <w:szCs w:val="24"/>
        </w:rPr>
      </w:pPr>
      <w:r>
        <w:rPr>
          <w:rFonts w:ascii="Times New Roman" w:hAnsi="Times New Roman" w:cs="Times New Roman"/>
          <w:sz w:val="24"/>
          <w:szCs w:val="24"/>
        </w:rPr>
        <w:t>Defining charity success and</w:t>
      </w:r>
      <w:r w:rsidR="00A93D20" w:rsidRPr="0059716A">
        <w:rPr>
          <w:rFonts w:ascii="Times New Roman" w:hAnsi="Times New Roman" w:cs="Times New Roman"/>
          <w:sz w:val="24"/>
          <w:szCs w:val="24"/>
        </w:rPr>
        <w:t xml:space="preserve"> failure has proved problematic</w:t>
      </w:r>
      <w:r w:rsidR="00D07760">
        <w:rPr>
          <w:rFonts w:ascii="Times New Roman" w:hAnsi="Times New Roman" w:cs="Times New Roman"/>
          <w:sz w:val="24"/>
          <w:szCs w:val="24"/>
        </w:rPr>
        <w:t xml:space="preserve"> for researchers</w:t>
      </w:r>
      <w:r w:rsidR="00A93D20" w:rsidRPr="0059716A">
        <w:rPr>
          <w:rFonts w:ascii="Times New Roman" w:hAnsi="Times New Roman" w:cs="Times New Roman"/>
          <w:sz w:val="24"/>
          <w:szCs w:val="24"/>
        </w:rPr>
        <w:t xml:space="preserve"> (Lecy</w:t>
      </w:r>
      <w:r w:rsidR="000D4AEE">
        <w:rPr>
          <w:rFonts w:ascii="Times New Roman" w:hAnsi="Times New Roman" w:cs="Times New Roman"/>
          <w:sz w:val="24"/>
          <w:szCs w:val="24"/>
        </w:rPr>
        <w:t xml:space="preserve">, Schmitz &amp; Swedlund, </w:t>
      </w:r>
      <w:r w:rsidR="00A93D20" w:rsidRPr="0059716A">
        <w:rPr>
          <w:rFonts w:ascii="Times New Roman" w:hAnsi="Times New Roman" w:cs="Times New Roman"/>
          <w:sz w:val="24"/>
          <w:szCs w:val="24"/>
        </w:rPr>
        <w:t>2011). There are</w:t>
      </w:r>
      <w:r>
        <w:rPr>
          <w:rFonts w:ascii="Times New Roman" w:hAnsi="Times New Roman" w:cs="Times New Roman"/>
          <w:sz w:val="24"/>
          <w:szCs w:val="24"/>
        </w:rPr>
        <w:t xml:space="preserve"> various conceptualisations of the latter</w:t>
      </w:r>
      <w:r w:rsidR="00A93D20" w:rsidRPr="0059716A">
        <w:rPr>
          <w:rFonts w:ascii="Times New Roman" w:hAnsi="Times New Roman" w:cs="Times New Roman"/>
          <w:sz w:val="24"/>
          <w:szCs w:val="24"/>
        </w:rPr>
        <w:t xml:space="preserve"> including resource reduction, market exit, and m</w:t>
      </w:r>
      <w:r>
        <w:rPr>
          <w:rFonts w:ascii="Times New Roman" w:hAnsi="Times New Roman" w:cs="Times New Roman"/>
          <w:sz w:val="24"/>
          <w:szCs w:val="24"/>
        </w:rPr>
        <w:t xml:space="preserve">ortality (Helmig, Ingerfurth &amp; Pinz, 2014; </w:t>
      </w:r>
      <w:r w:rsidR="00A93D20" w:rsidRPr="0059716A">
        <w:rPr>
          <w:rFonts w:ascii="Times New Roman" w:hAnsi="Times New Roman" w:cs="Times New Roman"/>
          <w:sz w:val="24"/>
          <w:szCs w:val="24"/>
        </w:rPr>
        <w:t xml:space="preserve">Mellahi &amp; Wilkinson, 2004). </w:t>
      </w:r>
      <w:r w:rsidR="008876C7" w:rsidRPr="0059716A">
        <w:rPr>
          <w:rFonts w:ascii="Times New Roman" w:hAnsi="Times New Roman" w:cs="Times New Roman"/>
          <w:sz w:val="24"/>
          <w:szCs w:val="24"/>
        </w:rPr>
        <w:t xml:space="preserve">However, many of these constructs contain inconsistencies and contradictions. For example, organisational dissolution may indicate success rather than failure in cases where the charity accomplished its mission (Helmig et al., 2014; see also Hager, Galaskiewicz, Bielefeld &amp; Pins, 1996). </w:t>
      </w:r>
      <w:r w:rsidR="00A93D20" w:rsidRPr="0059716A">
        <w:rPr>
          <w:rFonts w:ascii="Times New Roman" w:hAnsi="Times New Roman" w:cs="Times New Roman"/>
          <w:sz w:val="24"/>
          <w:szCs w:val="24"/>
        </w:rPr>
        <w:t>On the other hand, charity success i</w:t>
      </w:r>
      <w:r w:rsidR="001F4F03" w:rsidRPr="0059716A">
        <w:rPr>
          <w:rFonts w:ascii="Times New Roman" w:hAnsi="Times New Roman" w:cs="Times New Roman"/>
          <w:sz w:val="24"/>
          <w:szCs w:val="24"/>
        </w:rPr>
        <w:t>s easier to conceptualise but</w:t>
      </w:r>
      <w:r w:rsidR="00A93D20" w:rsidRPr="0059716A">
        <w:rPr>
          <w:rFonts w:ascii="Times New Roman" w:hAnsi="Times New Roman" w:cs="Times New Roman"/>
          <w:sz w:val="24"/>
          <w:szCs w:val="24"/>
        </w:rPr>
        <w:t xml:space="preserve"> poorly understood for a number of reasons (Helmig et al., 2014). Extant studies have focused on a limited number of subsectors such as Social Service organisations (Helmig et al., 2014); used observations from small regional study sites (e.g. Wollebaek, 2010); and covered short time periods (e.g. Hager et al., 1996). The most difficult issue has been to unambiguously measure mission accomplishment - those charities that voluntarily cease to exist due to achieving their stated mission - and differentiate it from other forms of dissolution such as organisational wind-up, statutory revocation of charity status due to misconduct, and other forms of ‘mortality’ e.g. amalgamation. </w:t>
      </w:r>
    </w:p>
    <w:p w14:paraId="771AD5DE" w14:textId="34CFDC30" w:rsidR="00354A01" w:rsidRPr="00354A01" w:rsidRDefault="00354A01" w:rsidP="0059716A">
      <w:pPr>
        <w:spacing w:line="480" w:lineRule="auto"/>
        <w:rPr>
          <w:rFonts w:ascii="Times New Roman" w:hAnsi="Times New Roman" w:cs="Times New Roman"/>
          <w:b/>
          <w:sz w:val="24"/>
          <w:szCs w:val="24"/>
        </w:rPr>
      </w:pPr>
      <w:r w:rsidRPr="00354A01">
        <w:rPr>
          <w:rFonts w:ascii="Times New Roman" w:hAnsi="Times New Roman" w:cs="Times New Roman"/>
          <w:b/>
          <w:sz w:val="24"/>
          <w:szCs w:val="24"/>
        </w:rPr>
        <w:t>Theoretical perspectives</w:t>
      </w:r>
    </w:p>
    <w:p w14:paraId="5B847073" w14:textId="155213BA" w:rsidR="009B7174" w:rsidRDefault="00B36F38" w:rsidP="001628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There are two</w:t>
      </w:r>
      <w:r w:rsidR="00BA3CCC">
        <w:rPr>
          <w:rFonts w:ascii="Times New Roman" w:hAnsi="Times New Roman" w:cs="Times New Roman"/>
          <w:sz w:val="24"/>
          <w:szCs w:val="24"/>
        </w:rPr>
        <w:t xml:space="preserve"> core theories that </w:t>
      </w:r>
      <w:r>
        <w:rPr>
          <w:rFonts w:ascii="Times New Roman" w:hAnsi="Times New Roman" w:cs="Times New Roman"/>
          <w:sz w:val="24"/>
          <w:szCs w:val="24"/>
        </w:rPr>
        <w:t xml:space="preserve">are commonly applied to the study of the causes </w:t>
      </w:r>
      <w:r w:rsidR="00BA3CCC" w:rsidRPr="00BA3CCC">
        <w:rPr>
          <w:rFonts w:ascii="Times New Roman" w:hAnsi="Times New Roman" w:cs="Times New Roman"/>
          <w:sz w:val="24"/>
          <w:szCs w:val="24"/>
        </w:rPr>
        <w:t xml:space="preserve">of </w:t>
      </w:r>
      <w:r w:rsidR="00BA3CCC">
        <w:rPr>
          <w:rFonts w:ascii="Times New Roman" w:hAnsi="Times New Roman" w:cs="Times New Roman"/>
          <w:sz w:val="24"/>
          <w:szCs w:val="24"/>
        </w:rPr>
        <w:t xml:space="preserve">charity </w:t>
      </w:r>
      <w:r w:rsidR="00BA3CCC" w:rsidRPr="00BA3CCC">
        <w:rPr>
          <w:rFonts w:ascii="Times New Roman" w:hAnsi="Times New Roman" w:cs="Times New Roman"/>
          <w:sz w:val="24"/>
          <w:szCs w:val="24"/>
        </w:rPr>
        <w:t>dissolution</w:t>
      </w:r>
      <w:r w:rsidR="009B7174">
        <w:rPr>
          <w:rFonts w:ascii="Times New Roman" w:hAnsi="Times New Roman" w:cs="Times New Roman"/>
          <w:sz w:val="24"/>
          <w:szCs w:val="24"/>
        </w:rPr>
        <w:t xml:space="preserve"> (Fernan</w:t>
      </w:r>
      <w:r>
        <w:rPr>
          <w:rFonts w:ascii="Times New Roman" w:hAnsi="Times New Roman" w:cs="Times New Roman"/>
          <w:sz w:val="24"/>
          <w:szCs w:val="24"/>
        </w:rPr>
        <w:t>dez, 2008): resource dependence and</w:t>
      </w:r>
      <w:r w:rsidR="009B7174">
        <w:rPr>
          <w:rFonts w:ascii="Times New Roman" w:hAnsi="Times New Roman" w:cs="Times New Roman"/>
          <w:sz w:val="24"/>
          <w:szCs w:val="24"/>
        </w:rPr>
        <w:t xml:space="preserve"> population ecology.</w:t>
      </w:r>
      <w:r w:rsidR="00496B21">
        <w:rPr>
          <w:rStyle w:val="FootnoteReference"/>
          <w:rFonts w:ascii="Times New Roman" w:hAnsi="Times New Roman" w:cs="Times New Roman"/>
          <w:sz w:val="24"/>
          <w:szCs w:val="24"/>
        </w:rPr>
        <w:footnoteReference w:id="1"/>
      </w:r>
    </w:p>
    <w:p w14:paraId="35F3496B" w14:textId="52662AF2" w:rsidR="009B7174" w:rsidRDefault="009B7174" w:rsidP="00162833">
      <w:pPr>
        <w:spacing w:line="480" w:lineRule="auto"/>
        <w:rPr>
          <w:rFonts w:ascii="Times New Roman" w:hAnsi="Times New Roman" w:cs="Times New Roman"/>
          <w:i/>
          <w:sz w:val="24"/>
          <w:szCs w:val="24"/>
        </w:rPr>
      </w:pPr>
      <w:r>
        <w:rPr>
          <w:rFonts w:ascii="Times New Roman" w:hAnsi="Times New Roman" w:cs="Times New Roman"/>
          <w:i/>
          <w:sz w:val="24"/>
          <w:szCs w:val="24"/>
        </w:rPr>
        <w:t>Resource dependence</w:t>
      </w:r>
    </w:p>
    <w:p w14:paraId="328E75F8" w14:textId="4013CE8A" w:rsidR="00DA166B" w:rsidRDefault="00BA3CCC" w:rsidP="00162833">
      <w:pPr>
        <w:spacing w:line="480" w:lineRule="auto"/>
        <w:rPr>
          <w:rFonts w:ascii="Times New Roman" w:hAnsi="Times New Roman" w:cs="Times New Roman"/>
          <w:sz w:val="24"/>
          <w:szCs w:val="24"/>
        </w:rPr>
      </w:pPr>
      <w:r w:rsidRPr="009B7174">
        <w:rPr>
          <w:rFonts w:ascii="Times New Roman" w:hAnsi="Times New Roman" w:cs="Times New Roman"/>
          <w:sz w:val="24"/>
          <w:szCs w:val="24"/>
        </w:rPr>
        <w:t>Resource dependence</w:t>
      </w:r>
      <w:r>
        <w:rPr>
          <w:rFonts w:ascii="Times New Roman" w:hAnsi="Times New Roman" w:cs="Times New Roman"/>
          <w:i/>
          <w:sz w:val="24"/>
          <w:szCs w:val="24"/>
        </w:rPr>
        <w:t xml:space="preserve"> </w:t>
      </w:r>
      <w:r>
        <w:rPr>
          <w:rFonts w:ascii="Times New Roman" w:hAnsi="Times New Roman" w:cs="Times New Roman"/>
          <w:sz w:val="24"/>
          <w:szCs w:val="24"/>
        </w:rPr>
        <w:t>theory contends that organisations and their environments are interdependent, in particular regarding resource acquisition (Pfeffer &amp;</w:t>
      </w:r>
      <w:r w:rsidR="00BF6019">
        <w:rPr>
          <w:rFonts w:ascii="Times New Roman" w:hAnsi="Times New Roman" w:cs="Times New Roman"/>
          <w:sz w:val="24"/>
          <w:szCs w:val="24"/>
        </w:rPr>
        <w:t xml:space="preserve"> Salancik, 2003</w:t>
      </w:r>
      <w:r>
        <w:rPr>
          <w:rFonts w:ascii="Times New Roman" w:hAnsi="Times New Roman" w:cs="Times New Roman"/>
          <w:sz w:val="24"/>
          <w:szCs w:val="24"/>
        </w:rPr>
        <w:t xml:space="preserve">). This interdependence has positive consequences in the form of </w:t>
      </w:r>
      <w:r w:rsidR="00BF6019">
        <w:rPr>
          <w:rFonts w:ascii="Times New Roman" w:hAnsi="Times New Roman" w:cs="Times New Roman"/>
          <w:sz w:val="24"/>
          <w:szCs w:val="24"/>
        </w:rPr>
        <w:t xml:space="preserve">offering organisations opportunities to acquire resources from a broad range of other entities in the environment; the negative implications centre on the potential for an organisation to become liable to the suppliers of its resources. </w:t>
      </w:r>
      <w:r w:rsidR="00162833">
        <w:rPr>
          <w:rFonts w:ascii="Times New Roman" w:hAnsi="Times New Roman" w:cs="Times New Roman"/>
          <w:sz w:val="24"/>
          <w:szCs w:val="24"/>
        </w:rPr>
        <w:t>In relation to the topic at hand,</w:t>
      </w:r>
      <w:r w:rsidR="00BF6019">
        <w:rPr>
          <w:rFonts w:ascii="Times New Roman" w:hAnsi="Times New Roman" w:cs="Times New Roman"/>
          <w:sz w:val="24"/>
          <w:szCs w:val="24"/>
        </w:rPr>
        <w:t xml:space="preserve"> an organisation’s survival prospects hinge on being able to acquire and maintain resources (Pfeffer &amp; Salancik, 2003). The distribution of dependence (or power) across an organisation’s relationships is a salient factor in its chances of survival: </w:t>
      </w:r>
      <w:r w:rsidR="00162833">
        <w:rPr>
          <w:rFonts w:ascii="Times New Roman" w:hAnsi="Times New Roman" w:cs="Times New Roman"/>
          <w:sz w:val="24"/>
          <w:szCs w:val="24"/>
        </w:rPr>
        <w:t>“</w:t>
      </w:r>
      <w:r w:rsidR="00162833" w:rsidRPr="00162833">
        <w:rPr>
          <w:rFonts w:ascii="Times New Roman" w:hAnsi="Times New Roman" w:cs="Times New Roman"/>
          <w:sz w:val="24"/>
          <w:szCs w:val="24"/>
        </w:rPr>
        <w:t>organizations with a concentrated external dependence may face</w:t>
      </w:r>
      <w:r w:rsidR="00162833">
        <w:rPr>
          <w:rFonts w:ascii="Times New Roman" w:hAnsi="Times New Roman" w:cs="Times New Roman"/>
          <w:sz w:val="24"/>
          <w:szCs w:val="24"/>
        </w:rPr>
        <w:t xml:space="preserve"> </w:t>
      </w:r>
      <w:r w:rsidR="00162833" w:rsidRPr="00162833">
        <w:rPr>
          <w:rFonts w:ascii="Times New Roman" w:hAnsi="Times New Roman" w:cs="Times New Roman"/>
          <w:sz w:val="24"/>
          <w:szCs w:val="24"/>
        </w:rPr>
        <w:t>more discontinuities in the inflow of resources and may attain worse bargaining</w:t>
      </w:r>
      <w:r w:rsidR="00162833">
        <w:rPr>
          <w:rFonts w:ascii="Times New Roman" w:hAnsi="Times New Roman" w:cs="Times New Roman"/>
          <w:sz w:val="24"/>
          <w:szCs w:val="24"/>
        </w:rPr>
        <w:t xml:space="preserve"> </w:t>
      </w:r>
      <w:r w:rsidR="00162833" w:rsidRPr="00162833">
        <w:rPr>
          <w:rFonts w:ascii="Times New Roman" w:hAnsi="Times New Roman" w:cs="Times New Roman"/>
          <w:sz w:val="24"/>
          <w:szCs w:val="24"/>
        </w:rPr>
        <w:t>positions</w:t>
      </w:r>
      <w:r w:rsidR="00162833">
        <w:rPr>
          <w:rFonts w:ascii="Times New Roman" w:hAnsi="Times New Roman" w:cs="Times New Roman"/>
          <w:sz w:val="24"/>
          <w:szCs w:val="24"/>
        </w:rPr>
        <w:t xml:space="preserve">.” (Fernandez, 2008, p. 117) Therefore, resource dependence theory predicts </w:t>
      </w:r>
      <w:r w:rsidR="00872DB1">
        <w:rPr>
          <w:rFonts w:ascii="Times New Roman" w:hAnsi="Times New Roman" w:cs="Times New Roman"/>
          <w:sz w:val="24"/>
          <w:szCs w:val="24"/>
        </w:rPr>
        <w:t xml:space="preserve">that organisations that secure their resources from a </w:t>
      </w:r>
      <w:r w:rsidR="008636BF">
        <w:rPr>
          <w:rFonts w:ascii="Times New Roman" w:hAnsi="Times New Roman" w:cs="Times New Roman"/>
          <w:sz w:val="24"/>
          <w:szCs w:val="24"/>
        </w:rPr>
        <w:t xml:space="preserve">diverse </w:t>
      </w:r>
      <w:r w:rsidR="00872DB1">
        <w:rPr>
          <w:rFonts w:ascii="Times New Roman" w:hAnsi="Times New Roman" w:cs="Times New Roman"/>
          <w:sz w:val="24"/>
          <w:szCs w:val="24"/>
        </w:rPr>
        <w:t xml:space="preserve">range of entities have </w:t>
      </w:r>
      <w:r w:rsidR="008636BF">
        <w:rPr>
          <w:rFonts w:ascii="Times New Roman" w:hAnsi="Times New Roman" w:cs="Times New Roman"/>
          <w:sz w:val="24"/>
          <w:szCs w:val="24"/>
        </w:rPr>
        <w:t>lower</w:t>
      </w:r>
      <w:r w:rsidR="00872DB1">
        <w:rPr>
          <w:rFonts w:ascii="Times New Roman" w:hAnsi="Times New Roman" w:cs="Times New Roman"/>
          <w:sz w:val="24"/>
          <w:szCs w:val="24"/>
        </w:rPr>
        <w:t xml:space="preserve"> prospects of dissolution.</w:t>
      </w:r>
      <w:r w:rsidR="00DA166B">
        <w:rPr>
          <w:rFonts w:ascii="Times New Roman" w:hAnsi="Times New Roman" w:cs="Times New Roman"/>
          <w:sz w:val="24"/>
          <w:szCs w:val="24"/>
        </w:rPr>
        <w:t xml:space="preserve"> </w:t>
      </w:r>
      <w:r w:rsidR="00D825CA">
        <w:rPr>
          <w:rFonts w:ascii="Times New Roman" w:hAnsi="Times New Roman" w:cs="Times New Roman"/>
          <w:sz w:val="24"/>
          <w:szCs w:val="24"/>
        </w:rPr>
        <w:t xml:space="preserve">The logic of revenue diversification is simple and compelling: </w:t>
      </w:r>
      <w:r w:rsidR="00F638E7">
        <w:rPr>
          <w:rFonts w:ascii="Times New Roman" w:hAnsi="Times New Roman" w:cs="Times New Roman"/>
          <w:sz w:val="24"/>
          <w:szCs w:val="24"/>
        </w:rPr>
        <w:t xml:space="preserve">it hedges against uncertainty and instability in the organisation’s operating environment (Hung &amp; Hager, 2019). </w:t>
      </w:r>
      <w:r w:rsidR="00D825CA">
        <w:rPr>
          <w:rFonts w:ascii="Times New Roman" w:hAnsi="Times New Roman" w:cs="Times New Roman"/>
          <w:sz w:val="24"/>
          <w:szCs w:val="24"/>
        </w:rPr>
        <w:t>However, a nuanced perspective is needed, as new and enhanced risks accompany the greater rewards associated with diversification (Froelic</w:t>
      </w:r>
      <w:r w:rsidR="00E96B23">
        <w:rPr>
          <w:rFonts w:ascii="Times New Roman" w:hAnsi="Times New Roman" w:cs="Times New Roman"/>
          <w:sz w:val="24"/>
          <w:szCs w:val="24"/>
        </w:rPr>
        <w:t>h, 1990; Frumkin &amp; Keating, 2011</w:t>
      </w:r>
      <w:r w:rsidR="00D825CA">
        <w:rPr>
          <w:rFonts w:ascii="Times New Roman" w:hAnsi="Times New Roman" w:cs="Times New Roman"/>
          <w:sz w:val="24"/>
          <w:szCs w:val="24"/>
        </w:rPr>
        <w:t>)</w:t>
      </w:r>
      <w:r w:rsidR="00DA166B">
        <w:rPr>
          <w:rFonts w:ascii="Times New Roman" w:hAnsi="Times New Roman" w:cs="Times New Roman"/>
          <w:sz w:val="24"/>
          <w:szCs w:val="24"/>
        </w:rPr>
        <w:t>.</w:t>
      </w:r>
      <w:r w:rsidR="002A40DC">
        <w:rPr>
          <w:rFonts w:ascii="Times New Roman" w:hAnsi="Times New Roman" w:cs="Times New Roman"/>
          <w:sz w:val="24"/>
          <w:szCs w:val="24"/>
        </w:rPr>
        <w:t xml:space="preserve"> Recent meta-analyses suggest that revenue diversification has, at best, a small, positive association with nonprofit financial healt</w:t>
      </w:r>
      <w:r w:rsidR="008636BF">
        <w:rPr>
          <w:rFonts w:ascii="Times New Roman" w:hAnsi="Times New Roman" w:cs="Times New Roman"/>
          <w:sz w:val="24"/>
          <w:szCs w:val="24"/>
        </w:rPr>
        <w:t>h (Hung &amp; Hager, 2019; Lu</w:t>
      </w:r>
      <w:r w:rsidR="002A40DC">
        <w:rPr>
          <w:rFonts w:ascii="Times New Roman" w:hAnsi="Times New Roman" w:cs="Times New Roman"/>
          <w:sz w:val="24"/>
          <w:szCs w:val="24"/>
        </w:rPr>
        <w:t>,</w:t>
      </w:r>
      <w:r w:rsidR="008636BF">
        <w:rPr>
          <w:rFonts w:ascii="Times New Roman" w:hAnsi="Times New Roman" w:cs="Times New Roman"/>
          <w:sz w:val="24"/>
          <w:szCs w:val="24"/>
        </w:rPr>
        <w:t xml:space="preserve"> Lin &amp; Wang, 2019</w:t>
      </w:r>
      <w:r w:rsidR="002A40DC">
        <w:rPr>
          <w:rFonts w:ascii="Times New Roman" w:hAnsi="Times New Roman" w:cs="Times New Roman"/>
          <w:sz w:val="24"/>
          <w:szCs w:val="24"/>
        </w:rPr>
        <w:t>). We test whether this is the case by stating t</w:t>
      </w:r>
      <w:r w:rsidR="00DA166B">
        <w:rPr>
          <w:rFonts w:ascii="Times New Roman" w:hAnsi="Times New Roman" w:cs="Times New Roman"/>
          <w:sz w:val="24"/>
          <w:szCs w:val="24"/>
        </w:rPr>
        <w:t>he following:</w:t>
      </w:r>
    </w:p>
    <w:p w14:paraId="4BD6A1A6" w14:textId="080C28A4" w:rsidR="00DA166B" w:rsidRDefault="00DA166B" w:rsidP="0024708C">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Hypothesis 1: Charities that rely on more diversified revenue portfolios are less likely to dissolve</w:t>
      </w:r>
      <w:r w:rsidR="00EE519A">
        <w:rPr>
          <w:rFonts w:ascii="Times New Roman" w:hAnsi="Times New Roman" w:cs="Times New Roman"/>
          <w:sz w:val="24"/>
          <w:szCs w:val="24"/>
        </w:rPr>
        <w:t>.</w:t>
      </w:r>
    </w:p>
    <w:p w14:paraId="557FD50C" w14:textId="79D3C022" w:rsidR="00245D21" w:rsidRDefault="00245D21" w:rsidP="00162833">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also important to consider the </w:t>
      </w:r>
      <w:r w:rsidR="00370E3F">
        <w:rPr>
          <w:rFonts w:ascii="Times New Roman" w:hAnsi="Times New Roman" w:cs="Times New Roman"/>
          <w:sz w:val="24"/>
          <w:szCs w:val="24"/>
        </w:rPr>
        <w:t>nature</w:t>
      </w:r>
      <w:r>
        <w:rPr>
          <w:rFonts w:ascii="Times New Roman" w:hAnsi="Times New Roman" w:cs="Times New Roman"/>
          <w:sz w:val="24"/>
          <w:szCs w:val="24"/>
        </w:rPr>
        <w:t xml:space="preserve"> and source, not just the diversity, of an organisation’s resource base. </w:t>
      </w:r>
      <w:r w:rsidR="005803D7">
        <w:rPr>
          <w:rFonts w:ascii="Times New Roman" w:hAnsi="Times New Roman" w:cs="Times New Roman"/>
          <w:sz w:val="24"/>
          <w:szCs w:val="24"/>
        </w:rPr>
        <w:t>A new source of revenue can be bring additional complexity, cost, dependence and risk, and lead to mission drift (Frumkin &amp; Keating, 2011; Hung &amp; Hager, 2019). Nonprofits are often differentiated in the literature</w:t>
      </w:r>
      <w:r w:rsidR="00625BA6">
        <w:rPr>
          <w:rFonts w:ascii="Times New Roman" w:hAnsi="Times New Roman" w:cs="Times New Roman"/>
          <w:sz w:val="24"/>
          <w:szCs w:val="24"/>
        </w:rPr>
        <w:t xml:space="preserve"> using Hansmann’s (1980) classification: an organisation is classed as donative if it</w:t>
      </w:r>
      <w:r w:rsidR="005803D7">
        <w:rPr>
          <w:rFonts w:ascii="Times New Roman" w:hAnsi="Times New Roman" w:cs="Times New Roman"/>
          <w:sz w:val="24"/>
          <w:szCs w:val="24"/>
        </w:rPr>
        <w:t xml:space="preserve"> derive</w:t>
      </w:r>
      <w:r w:rsidR="00625BA6">
        <w:rPr>
          <w:rFonts w:ascii="Times New Roman" w:hAnsi="Times New Roman" w:cs="Times New Roman"/>
          <w:sz w:val="24"/>
          <w:szCs w:val="24"/>
        </w:rPr>
        <w:t>s</w:t>
      </w:r>
      <w:r w:rsidR="008636BF">
        <w:rPr>
          <w:rFonts w:ascii="Times New Roman" w:hAnsi="Times New Roman" w:cs="Times New Roman"/>
          <w:sz w:val="24"/>
          <w:szCs w:val="24"/>
        </w:rPr>
        <w:t xml:space="preserve"> a majority of its</w:t>
      </w:r>
      <w:r w:rsidR="005803D7">
        <w:rPr>
          <w:rFonts w:ascii="Times New Roman" w:hAnsi="Times New Roman" w:cs="Times New Roman"/>
          <w:sz w:val="24"/>
          <w:szCs w:val="24"/>
        </w:rPr>
        <w:t xml:space="preserve"> income from </w:t>
      </w:r>
      <w:r w:rsidR="00625BA6">
        <w:rPr>
          <w:rFonts w:ascii="Times New Roman" w:hAnsi="Times New Roman" w:cs="Times New Roman"/>
          <w:sz w:val="24"/>
          <w:szCs w:val="24"/>
        </w:rPr>
        <w:t>donations or grants, and commercial if the majority comes</w:t>
      </w:r>
      <w:r w:rsidR="005803D7">
        <w:rPr>
          <w:rFonts w:ascii="Times New Roman" w:hAnsi="Times New Roman" w:cs="Times New Roman"/>
          <w:sz w:val="24"/>
          <w:szCs w:val="24"/>
        </w:rPr>
        <w:t xml:space="preserve"> from charging fee</w:t>
      </w:r>
      <w:r w:rsidR="00625BA6">
        <w:rPr>
          <w:rFonts w:ascii="Times New Roman" w:hAnsi="Times New Roman" w:cs="Times New Roman"/>
          <w:sz w:val="24"/>
          <w:szCs w:val="24"/>
        </w:rPr>
        <w:t>s. This bifurcation, though limited, has been employed productively in var</w:t>
      </w:r>
      <w:r w:rsidR="008636BF">
        <w:rPr>
          <w:rFonts w:ascii="Times New Roman" w:hAnsi="Times New Roman" w:cs="Times New Roman"/>
          <w:sz w:val="24"/>
          <w:szCs w:val="24"/>
        </w:rPr>
        <w:t>ious empirical studies (Lu, Shon &amp; Zhang</w:t>
      </w:r>
      <w:r w:rsidR="00625BA6">
        <w:rPr>
          <w:rFonts w:ascii="Times New Roman" w:hAnsi="Times New Roman" w:cs="Times New Roman"/>
          <w:sz w:val="24"/>
          <w:szCs w:val="24"/>
        </w:rPr>
        <w:t xml:space="preserve">, 2019; </w:t>
      </w:r>
      <w:r w:rsidR="00625BA6" w:rsidRPr="00625BA6">
        <w:rPr>
          <w:rFonts w:ascii="Times New Roman" w:hAnsi="Times New Roman" w:cs="Times New Roman"/>
          <w:sz w:val="24"/>
          <w:szCs w:val="24"/>
        </w:rPr>
        <w:t>Teasdale, Kerlin, Young, &amp; Soh, 2013</w:t>
      </w:r>
      <w:r w:rsidR="00625BA6">
        <w:rPr>
          <w:rFonts w:ascii="Times New Roman" w:hAnsi="Times New Roman" w:cs="Times New Roman"/>
          <w:sz w:val="24"/>
          <w:szCs w:val="24"/>
        </w:rPr>
        <w:t>)</w:t>
      </w:r>
      <w:r w:rsidR="0024708C">
        <w:rPr>
          <w:rFonts w:ascii="Times New Roman" w:hAnsi="Times New Roman" w:cs="Times New Roman"/>
          <w:sz w:val="24"/>
          <w:szCs w:val="24"/>
        </w:rPr>
        <w:t>. The extant literature has failed to reach a consensus on the sign of the association between this factor and dissolution</w:t>
      </w:r>
      <w:r w:rsidR="001C2F0C">
        <w:rPr>
          <w:rFonts w:ascii="Times New Roman" w:hAnsi="Times New Roman" w:cs="Times New Roman"/>
          <w:sz w:val="24"/>
          <w:szCs w:val="24"/>
        </w:rPr>
        <w:t xml:space="preserve"> (</w:t>
      </w:r>
      <w:r w:rsidR="008636BF">
        <w:rPr>
          <w:rFonts w:ascii="Times New Roman" w:hAnsi="Times New Roman" w:cs="Times New Roman"/>
          <w:sz w:val="24"/>
          <w:szCs w:val="24"/>
        </w:rPr>
        <w:t>Lu, Lin &amp; Wang, 2019</w:t>
      </w:r>
      <w:r w:rsidR="001C2F0C">
        <w:rPr>
          <w:rFonts w:ascii="Times New Roman" w:hAnsi="Times New Roman" w:cs="Times New Roman"/>
          <w:sz w:val="24"/>
          <w:szCs w:val="24"/>
        </w:rPr>
        <w:t>)</w:t>
      </w:r>
      <w:r w:rsidR="0024708C">
        <w:rPr>
          <w:rFonts w:ascii="Times New Roman" w:hAnsi="Times New Roman" w:cs="Times New Roman"/>
          <w:sz w:val="24"/>
          <w:szCs w:val="24"/>
        </w:rPr>
        <w:t>, therefore we specify the following hypothesis:</w:t>
      </w:r>
    </w:p>
    <w:p w14:paraId="6735EE26" w14:textId="7FD8F03C" w:rsidR="005803D7" w:rsidRDefault="00EE519A" w:rsidP="0024708C">
      <w:pPr>
        <w:spacing w:line="480" w:lineRule="auto"/>
        <w:ind w:left="720"/>
        <w:rPr>
          <w:rFonts w:ascii="Times New Roman" w:hAnsi="Times New Roman" w:cs="Times New Roman"/>
          <w:sz w:val="24"/>
          <w:szCs w:val="24"/>
        </w:rPr>
      </w:pPr>
      <w:r>
        <w:rPr>
          <w:rFonts w:ascii="Times New Roman" w:hAnsi="Times New Roman" w:cs="Times New Roman"/>
          <w:sz w:val="24"/>
          <w:szCs w:val="24"/>
        </w:rPr>
        <w:t>Hypothesis 2: Charities reliant on donations have different likelihoods of dissolution than commercial charities.</w:t>
      </w:r>
    </w:p>
    <w:p w14:paraId="408538A4" w14:textId="5030E934" w:rsidR="0024708C" w:rsidRDefault="002A40DC" w:rsidP="0024708C">
      <w:pPr>
        <w:spacing w:line="480" w:lineRule="auto"/>
        <w:rPr>
          <w:rFonts w:ascii="Times New Roman" w:hAnsi="Times New Roman" w:cs="Times New Roman"/>
          <w:sz w:val="24"/>
          <w:szCs w:val="24"/>
        </w:rPr>
      </w:pPr>
      <w:r>
        <w:rPr>
          <w:rFonts w:ascii="Times New Roman" w:hAnsi="Times New Roman" w:cs="Times New Roman"/>
          <w:sz w:val="24"/>
          <w:szCs w:val="24"/>
        </w:rPr>
        <w:t xml:space="preserve">Our final resource dependence factor concerns the main source of a charity’s funds, specifically from government. </w:t>
      </w:r>
    </w:p>
    <w:p w14:paraId="0B2C8270" w14:textId="684D1BDA" w:rsidR="00245D21" w:rsidRPr="00BA3CCC" w:rsidRDefault="00245D21" w:rsidP="0024708C">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Hypothesis 3: </w:t>
      </w:r>
      <w:r w:rsidR="005803D7">
        <w:rPr>
          <w:rFonts w:ascii="Times New Roman" w:hAnsi="Times New Roman" w:cs="Times New Roman"/>
          <w:sz w:val="24"/>
          <w:szCs w:val="24"/>
        </w:rPr>
        <w:t>Charities whose main source of revenue is from government have different likelihoods of dissolution.</w:t>
      </w:r>
    </w:p>
    <w:p w14:paraId="5306D31B" w14:textId="4EFBE594" w:rsidR="006C3245" w:rsidRPr="009B7174" w:rsidRDefault="009B7174" w:rsidP="0059716A">
      <w:pPr>
        <w:spacing w:line="480" w:lineRule="auto"/>
        <w:rPr>
          <w:rFonts w:ascii="Times New Roman" w:hAnsi="Times New Roman" w:cs="Times New Roman"/>
          <w:i/>
          <w:sz w:val="24"/>
          <w:szCs w:val="24"/>
        </w:rPr>
      </w:pPr>
      <w:r w:rsidRPr="009B7174">
        <w:rPr>
          <w:rFonts w:ascii="Times New Roman" w:hAnsi="Times New Roman" w:cs="Times New Roman"/>
          <w:i/>
          <w:sz w:val="24"/>
          <w:szCs w:val="24"/>
        </w:rPr>
        <w:t>Population ecology</w:t>
      </w:r>
    </w:p>
    <w:p w14:paraId="30A34904" w14:textId="2D6E7B08" w:rsidR="009B7174" w:rsidRDefault="00727BEB" w:rsidP="00DC0EBE">
      <w:pPr>
        <w:spacing w:line="480" w:lineRule="auto"/>
        <w:rPr>
          <w:rFonts w:ascii="Times New Roman" w:hAnsi="Times New Roman" w:cs="Times New Roman"/>
          <w:sz w:val="24"/>
          <w:szCs w:val="24"/>
        </w:rPr>
      </w:pPr>
      <w:r>
        <w:rPr>
          <w:rFonts w:ascii="Times New Roman" w:hAnsi="Times New Roman" w:cs="Times New Roman"/>
          <w:sz w:val="24"/>
          <w:szCs w:val="24"/>
        </w:rPr>
        <w:t>Population ecology theory contends that an organisation’s demographic (e.g. age and size) and ecological (e.g. field of activity</w:t>
      </w:r>
      <w:r w:rsidR="001D1BAD">
        <w:rPr>
          <w:rFonts w:ascii="Times New Roman" w:hAnsi="Times New Roman" w:cs="Times New Roman"/>
          <w:sz w:val="24"/>
          <w:szCs w:val="24"/>
        </w:rPr>
        <w:t>, area/market density</w:t>
      </w:r>
      <w:r>
        <w:rPr>
          <w:rFonts w:ascii="Times New Roman" w:hAnsi="Times New Roman" w:cs="Times New Roman"/>
          <w:sz w:val="24"/>
          <w:szCs w:val="24"/>
        </w:rPr>
        <w:t>) characteristics influence its survival prospects (Baum</w:t>
      </w:r>
      <w:r w:rsidR="00DB1F5E">
        <w:rPr>
          <w:rFonts w:ascii="Times New Roman" w:hAnsi="Times New Roman" w:cs="Times New Roman"/>
          <w:sz w:val="24"/>
          <w:szCs w:val="24"/>
        </w:rPr>
        <w:t xml:space="preserve"> &amp; Singh, 1994</w:t>
      </w:r>
      <w:r>
        <w:rPr>
          <w:rFonts w:ascii="Times New Roman" w:hAnsi="Times New Roman" w:cs="Times New Roman"/>
          <w:sz w:val="24"/>
          <w:szCs w:val="24"/>
        </w:rPr>
        <w:t xml:space="preserve">; Bielefeld, 1994; Hannan &amp; Freeman, 1977). </w:t>
      </w:r>
      <w:r w:rsidR="0038008F">
        <w:rPr>
          <w:rFonts w:ascii="Times New Roman" w:hAnsi="Times New Roman" w:cs="Times New Roman"/>
          <w:sz w:val="24"/>
          <w:szCs w:val="24"/>
        </w:rPr>
        <w:t xml:space="preserve">In essence, </w:t>
      </w:r>
      <w:r w:rsidR="0038008F" w:rsidRPr="0038008F">
        <w:rPr>
          <w:rFonts w:ascii="Times New Roman" w:hAnsi="Times New Roman" w:cs="Times New Roman"/>
          <w:sz w:val="24"/>
          <w:szCs w:val="24"/>
        </w:rPr>
        <w:t xml:space="preserve">in a dynamic environment characterized by inter-organizational competition, less-fit organizations are selected out by environmental pressures, </w:t>
      </w:r>
      <w:r w:rsidR="0038008F">
        <w:rPr>
          <w:rFonts w:ascii="Times New Roman" w:hAnsi="Times New Roman" w:cs="Times New Roman"/>
          <w:sz w:val="24"/>
          <w:szCs w:val="24"/>
        </w:rPr>
        <w:t>with</w:t>
      </w:r>
      <w:r w:rsidR="0038008F" w:rsidRPr="0038008F">
        <w:rPr>
          <w:rFonts w:ascii="Times New Roman" w:hAnsi="Times New Roman" w:cs="Times New Roman"/>
          <w:sz w:val="24"/>
          <w:szCs w:val="24"/>
        </w:rPr>
        <w:t xml:space="preserve"> o</w:t>
      </w:r>
      <w:r w:rsidR="0038008F">
        <w:rPr>
          <w:rFonts w:ascii="Times New Roman" w:hAnsi="Times New Roman" w:cs="Times New Roman"/>
          <w:sz w:val="24"/>
          <w:szCs w:val="24"/>
        </w:rPr>
        <w:t>nly the fittest organizations</w:t>
      </w:r>
      <w:r w:rsidR="0038008F" w:rsidRPr="0038008F">
        <w:rPr>
          <w:rFonts w:ascii="Times New Roman" w:hAnsi="Times New Roman" w:cs="Times New Roman"/>
          <w:sz w:val="24"/>
          <w:szCs w:val="24"/>
        </w:rPr>
        <w:t xml:space="preserve"> s</w:t>
      </w:r>
      <w:r w:rsidR="0038008F">
        <w:rPr>
          <w:rFonts w:ascii="Times New Roman" w:hAnsi="Times New Roman" w:cs="Times New Roman"/>
          <w:sz w:val="24"/>
          <w:szCs w:val="24"/>
        </w:rPr>
        <w:t>urviving</w:t>
      </w:r>
      <w:r w:rsidR="0038008F" w:rsidRPr="0038008F">
        <w:rPr>
          <w:rFonts w:ascii="Times New Roman" w:hAnsi="Times New Roman" w:cs="Times New Roman"/>
          <w:sz w:val="24"/>
          <w:szCs w:val="24"/>
        </w:rPr>
        <w:t xml:space="preserve"> </w:t>
      </w:r>
      <w:r w:rsidR="0038008F" w:rsidRPr="0038008F">
        <w:rPr>
          <w:rFonts w:ascii="Times New Roman" w:hAnsi="Times New Roman" w:cs="Times New Roman"/>
          <w:sz w:val="24"/>
          <w:szCs w:val="24"/>
        </w:rPr>
        <w:lastRenderedPageBreak/>
        <w:t>(Hannan &amp; Freeman, 1989).</w:t>
      </w:r>
      <w:r w:rsidR="0038008F">
        <w:rPr>
          <w:rFonts w:ascii="Times New Roman" w:hAnsi="Times New Roman" w:cs="Times New Roman"/>
          <w:sz w:val="24"/>
          <w:szCs w:val="24"/>
        </w:rPr>
        <w:t xml:space="preserve"> </w:t>
      </w:r>
      <w:r w:rsidR="009B63C6">
        <w:rPr>
          <w:rFonts w:ascii="Times New Roman" w:hAnsi="Times New Roman" w:cs="Times New Roman"/>
          <w:sz w:val="24"/>
          <w:szCs w:val="24"/>
        </w:rPr>
        <w:t xml:space="preserve">There are a number of hypotheses within the broader framework of population ecology theory that have been empirically tested in relation to nonprofit dissolution. The liability of newness posits that </w:t>
      </w:r>
      <w:r w:rsidR="00793044">
        <w:rPr>
          <w:rFonts w:ascii="Times New Roman" w:hAnsi="Times New Roman" w:cs="Times New Roman"/>
          <w:sz w:val="24"/>
          <w:szCs w:val="24"/>
        </w:rPr>
        <w:t xml:space="preserve">younger organisations have higher likelihoods of dissolution, possibly due to a lack of social connections, absence of defined roles within the organisation, costs associated with establishing operating procedures, and reliance on entities that poorly known/unknown to the organisation (Stinchcombe, 1965). In a similar vein, the liability of smallness hypothesis claims that </w:t>
      </w:r>
      <w:r w:rsidR="001D1BAD">
        <w:rPr>
          <w:rFonts w:ascii="Times New Roman" w:hAnsi="Times New Roman" w:cs="Times New Roman"/>
          <w:sz w:val="24"/>
          <w:szCs w:val="24"/>
        </w:rPr>
        <w:t>smaller organisations (often def</w:t>
      </w:r>
      <w:r w:rsidR="00793044">
        <w:rPr>
          <w:rFonts w:ascii="Times New Roman" w:hAnsi="Times New Roman" w:cs="Times New Roman"/>
          <w:sz w:val="24"/>
          <w:szCs w:val="24"/>
        </w:rPr>
        <w:t>ined in terms of total income, exp</w:t>
      </w:r>
      <w:r w:rsidR="00DC0EBE">
        <w:rPr>
          <w:rFonts w:ascii="Times New Roman" w:hAnsi="Times New Roman" w:cs="Times New Roman"/>
          <w:sz w:val="24"/>
          <w:szCs w:val="24"/>
        </w:rPr>
        <w:t>enditure, assets or staff) are at greater risk of dissolution (</w:t>
      </w:r>
      <w:r w:rsidR="00DB1F5E">
        <w:rPr>
          <w:rFonts w:ascii="Times New Roman" w:hAnsi="Times New Roman" w:cs="Times New Roman"/>
          <w:sz w:val="24"/>
          <w:szCs w:val="24"/>
        </w:rPr>
        <w:t>Freeman &amp; Hannan</w:t>
      </w:r>
      <w:r w:rsidR="00DC0EBE">
        <w:rPr>
          <w:rFonts w:ascii="Times New Roman" w:hAnsi="Times New Roman" w:cs="Times New Roman"/>
          <w:sz w:val="24"/>
          <w:szCs w:val="24"/>
        </w:rPr>
        <w:t>,</w:t>
      </w:r>
      <w:r w:rsidR="00DC0EBE" w:rsidRPr="00DC0EBE">
        <w:rPr>
          <w:rFonts w:ascii="Times New Roman" w:hAnsi="Times New Roman" w:cs="Times New Roman"/>
          <w:sz w:val="24"/>
          <w:szCs w:val="24"/>
        </w:rPr>
        <w:t xml:space="preserve"> 1983</w:t>
      </w:r>
      <w:r w:rsidR="00DC0EBE">
        <w:rPr>
          <w:rFonts w:ascii="Times New Roman" w:hAnsi="Times New Roman" w:cs="Times New Roman"/>
          <w:sz w:val="24"/>
          <w:szCs w:val="24"/>
        </w:rPr>
        <w:t>).</w:t>
      </w:r>
      <w:r w:rsidR="00793044">
        <w:rPr>
          <w:rFonts w:ascii="Times New Roman" w:hAnsi="Times New Roman" w:cs="Times New Roman"/>
          <w:sz w:val="24"/>
          <w:szCs w:val="24"/>
        </w:rPr>
        <w:t xml:space="preserve"> The empirical literature largely corroborates these hypotheses (e.g.</w:t>
      </w:r>
      <w:r w:rsidR="00DC0EBE">
        <w:rPr>
          <w:rFonts w:ascii="Times New Roman" w:hAnsi="Times New Roman" w:cs="Times New Roman"/>
          <w:sz w:val="24"/>
          <w:szCs w:val="24"/>
        </w:rPr>
        <w:t xml:space="preserve"> </w:t>
      </w:r>
      <w:r w:rsidR="00DC0EBE" w:rsidRPr="00DC0EBE">
        <w:rPr>
          <w:rFonts w:ascii="Times New Roman" w:hAnsi="Times New Roman" w:cs="Times New Roman"/>
          <w:sz w:val="24"/>
          <w:szCs w:val="24"/>
        </w:rPr>
        <w:t>Bielefeld 1994</w:t>
      </w:r>
      <w:r w:rsidR="00DC0EBE">
        <w:rPr>
          <w:rFonts w:ascii="Times New Roman" w:hAnsi="Times New Roman" w:cs="Times New Roman"/>
          <w:sz w:val="24"/>
          <w:szCs w:val="24"/>
        </w:rPr>
        <w:t>;</w:t>
      </w:r>
      <w:r w:rsidR="00793044">
        <w:rPr>
          <w:rFonts w:ascii="Times New Roman" w:hAnsi="Times New Roman" w:cs="Times New Roman"/>
          <w:sz w:val="24"/>
          <w:szCs w:val="24"/>
        </w:rPr>
        <w:t xml:space="preserve"> </w:t>
      </w:r>
      <w:r w:rsidR="00DC0EBE">
        <w:rPr>
          <w:rFonts w:ascii="Times New Roman" w:hAnsi="Times New Roman" w:cs="Times New Roman"/>
          <w:sz w:val="24"/>
          <w:szCs w:val="24"/>
        </w:rPr>
        <w:t>Lu et al., 2019a</w:t>
      </w:r>
      <w:r w:rsidR="005954FF">
        <w:rPr>
          <w:rFonts w:ascii="Times New Roman" w:hAnsi="Times New Roman" w:cs="Times New Roman"/>
          <w:sz w:val="24"/>
          <w:szCs w:val="24"/>
        </w:rPr>
        <w:t>; Twombly, 2003</w:t>
      </w:r>
      <w:r w:rsidR="00793044">
        <w:rPr>
          <w:rFonts w:ascii="Times New Roman" w:hAnsi="Times New Roman" w:cs="Times New Roman"/>
          <w:sz w:val="24"/>
          <w:szCs w:val="24"/>
        </w:rPr>
        <w:t>).</w:t>
      </w:r>
      <w:r w:rsidR="009B63C6">
        <w:rPr>
          <w:rFonts w:ascii="Times New Roman" w:hAnsi="Times New Roman" w:cs="Times New Roman"/>
          <w:sz w:val="24"/>
          <w:szCs w:val="24"/>
        </w:rPr>
        <w:t xml:space="preserve"> </w:t>
      </w:r>
      <w:r w:rsidR="006F1D69">
        <w:rPr>
          <w:rFonts w:ascii="Times New Roman" w:hAnsi="Times New Roman" w:cs="Times New Roman"/>
          <w:sz w:val="24"/>
          <w:szCs w:val="24"/>
        </w:rPr>
        <w:t>This leads us to our next set of hypotheses:</w:t>
      </w:r>
    </w:p>
    <w:p w14:paraId="63DE861C" w14:textId="180A8AD2" w:rsidR="006F1D69" w:rsidRDefault="006F1D69" w:rsidP="00602F3A">
      <w:pPr>
        <w:spacing w:line="480" w:lineRule="auto"/>
        <w:ind w:left="720"/>
        <w:rPr>
          <w:rFonts w:ascii="Times New Roman" w:hAnsi="Times New Roman" w:cs="Times New Roman"/>
          <w:sz w:val="24"/>
          <w:szCs w:val="24"/>
        </w:rPr>
      </w:pPr>
      <w:r>
        <w:rPr>
          <w:rFonts w:ascii="Times New Roman" w:hAnsi="Times New Roman" w:cs="Times New Roman"/>
          <w:sz w:val="24"/>
          <w:szCs w:val="24"/>
        </w:rPr>
        <w:t>Hypothesis 4: Younger charities are more likely to dissolve than older organisations</w:t>
      </w:r>
    </w:p>
    <w:p w14:paraId="677C46DF" w14:textId="2FDAA621" w:rsidR="006F1D69" w:rsidRDefault="006F1D69" w:rsidP="00602F3A">
      <w:pPr>
        <w:spacing w:line="480" w:lineRule="auto"/>
        <w:ind w:left="720"/>
        <w:rPr>
          <w:rFonts w:ascii="Times New Roman" w:hAnsi="Times New Roman" w:cs="Times New Roman"/>
          <w:sz w:val="24"/>
          <w:szCs w:val="24"/>
        </w:rPr>
      </w:pPr>
      <w:r>
        <w:rPr>
          <w:rFonts w:ascii="Times New Roman" w:hAnsi="Times New Roman" w:cs="Times New Roman"/>
          <w:sz w:val="24"/>
          <w:szCs w:val="24"/>
        </w:rPr>
        <w:t>Hypothesis 5: Smaller charities have a higher likelihood of dissolution.</w:t>
      </w:r>
    </w:p>
    <w:p w14:paraId="456A42B4" w14:textId="2108A15E" w:rsidR="00D13749" w:rsidRDefault="00D13749" w:rsidP="00DC0EBE">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factor confirmed as salient for understanding dissolution is </w:t>
      </w:r>
      <w:r w:rsidR="00F714A7">
        <w:rPr>
          <w:rFonts w:ascii="Times New Roman" w:hAnsi="Times New Roman" w:cs="Times New Roman"/>
          <w:sz w:val="24"/>
          <w:szCs w:val="24"/>
        </w:rPr>
        <w:t>organisational niche</w:t>
      </w:r>
      <w:r>
        <w:rPr>
          <w:rFonts w:ascii="Times New Roman" w:hAnsi="Times New Roman" w:cs="Times New Roman"/>
          <w:sz w:val="24"/>
          <w:szCs w:val="24"/>
        </w:rPr>
        <w:t>,</w:t>
      </w:r>
      <w:r w:rsidR="00F714A7">
        <w:rPr>
          <w:rFonts w:ascii="Times New Roman" w:hAnsi="Times New Roman" w:cs="Times New Roman"/>
          <w:sz w:val="24"/>
          <w:szCs w:val="24"/>
        </w:rPr>
        <w:t xml:space="preserve"> usually measured as the density of organisations in a field of activity</w:t>
      </w:r>
      <w:r>
        <w:rPr>
          <w:rFonts w:ascii="Times New Roman" w:hAnsi="Times New Roman" w:cs="Times New Roman"/>
          <w:sz w:val="24"/>
          <w:szCs w:val="24"/>
        </w:rPr>
        <w:t xml:space="preserve"> (e.g. housing, social services) or geographic location</w:t>
      </w:r>
      <w:r w:rsidR="00F714A7">
        <w:rPr>
          <w:rFonts w:ascii="Times New Roman" w:hAnsi="Times New Roman" w:cs="Times New Roman"/>
          <w:sz w:val="24"/>
          <w:szCs w:val="24"/>
        </w:rPr>
        <w:t xml:space="preserve"> (e.g. city, local authority, region)</w:t>
      </w:r>
      <w:r w:rsidR="00EE7B22">
        <w:rPr>
          <w:rFonts w:ascii="Times New Roman" w:hAnsi="Times New Roman" w:cs="Times New Roman"/>
          <w:sz w:val="24"/>
          <w:szCs w:val="24"/>
        </w:rPr>
        <w:t>, thus:</w:t>
      </w:r>
      <w:r w:rsidR="000C50FF">
        <w:rPr>
          <w:rStyle w:val="FootnoteReference"/>
          <w:rFonts w:ascii="Times New Roman" w:hAnsi="Times New Roman" w:cs="Times New Roman"/>
          <w:sz w:val="24"/>
          <w:szCs w:val="24"/>
        </w:rPr>
        <w:footnoteReference w:id="2"/>
      </w:r>
    </w:p>
    <w:p w14:paraId="438D5F13" w14:textId="6E7FA099" w:rsidR="00602F3A" w:rsidRDefault="00602F3A" w:rsidP="00EE7B22">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Hypothesis 6: </w:t>
      </w:r>
      <w:r w:rsidR="00EE7B22">
        <w:rPr>
          <w:rFonts w:ascii="Times New Roman" w:hAnsi="Times New Roman" w:cs="Times New Roman"/>
          <w:sz w:val="24"/>
          <w:szCs w:val="24"/>
        </w:rPr>
        <w:t>The likelihood of dissolution has a non-linear association with the level of organisational density in a charity’s geographic location.</w:t>
      </w:r>
    </w:p>
    <w:p w14:paraId="67CC6EAD" w14:textId="7EE0BA56" w:rsidR="002A361A" w:rsidRDefault="007607F6" w:rsidP="00DC0EB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A361A">
        <w:rPr>
          <w:rFonts w:ascii="Times New Roman" w:hAnsi="Times New Roman" w:cs="Times New Roman"/>
          <w:sz w:val="24"/>
          <w:szCs w:val="24"/>
        </w:rPr>
        <w:t>There are two additional organisational characteristics that we consider</w:t>
      </w:r>
      <w:r>
        <w:rPr>
          <w:rFonts w:ascii="Times New Roman" w:hAnsi="Times New Roman" w:cs="Times New Roman"/>
          <w:sz w:val="24"/>
          <w:szCs w:val="24"/>
        </w:rPr>
        <w:t xml:space="preserve"> congruent with population ecology theory</w:t>
      </w:r>
      <w:r w:rsidR="002A361A">
        <w:rPr>
          <w:rFonts w:ascii="Times New Roman" w:hAnsi="Times New Roman" w:cs="Times New Roman"/>
          <w:sz w:val="24"/>
          <w:szCs w:val="24"/>
        </w:rPr>
        <w:t>:</w:t>
      </w:r>
    </w:p>
    <w:p w14:paraId="7EFD0F96" w14:textId="19844725" w:rsidR="007355E1" w:rsidRPr="0059716A" w:rsidRDefault="00602F3A" w:rsidP="00EE7B22">
      <w:pPr>
        <w:spacing w:line="480" w:lineRule="auto"/>
        <w:ind w:left="720"/>
        <w:rPr>
          <w:rFonts w:ascii="Times New Roman" w:hAnsi="Times New Roman" w:cs="Times New Roman"/>
          <w:sz w:val="24"/>
          <w:szCs w:val="24"/>
        </w:rPr>
      </w:pPr>
      <w:r>
        <w:rPr>
          <w:rFonts w:ascii="Times New Roman" w:hAnsi="Times New Roman" w:cs="Times New Roman"/>
          <w:sz w:val="24"/>
          <w:szCs w:val="24"/>
        </w:rPr>
        <w:t>Hypothesis 7: The likelihood of dissolution varies across fields of activity (e.g.</w:t>
      </w:r>
      <w:r w:rsidR="000212E1">
        <w:rPr>
          <w:rFonts w:ascii="Times New Roman" w:hAnsi="Times New Roman" w:cs="Times New Roman"/>
          <w:sz w:val="24"/>
          <w:szCs w:val="24"/>
        </w:rPr>
        <w:t xml:space="preserve"> education, health</w:t>
      </w:r>
      <w:r>
        <w:rPr>
          <w:rFonts w:ascii="Times New Roman" w:hAnsi="Times New Roman" w:cs="Times New Roman"/>
          <w:sz w:val="24"/>
          <w:szCs w:val="24"/>
        </w:rPr>
        <w:t>) and beneficiary groups served (e</w:t>
      </w:r>
      <w:r w:rsidR="00EE7B22">
        <w:rPr>
          <w:rFonts w:ascii="Times New Roman" w:hAnsi="Times New Roman" w:cs="Times New Roman"/>
          <w:sz w:val="24"/>
          <w:szCs w:val="24"/>
        </w:rPr>
        <w:t>.g. children and young people).</w:t>
      </w:r>
    </w:p>
    <w:p w14:paraId="614B27FE" w14:textId="06C8CDA0" w:rsidR="00C46C9E" w:rsidRPr="0059716A" w:rsidRDefault="006C3245"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lastRenderedPageBreak/>
        <w:t>Methodology</w:t>
      </w:r>
    </w:p>
    <w:p w14:paraId="34CA2C8A" w14:textId="26DB97E5" w:rsidR="006C3245" w:rsidRPr="0059716A" w:rsidRDefault="00D30C05" w:rsidP="00FF2402">
      <w:pPr>
        <w:spacing w:line="480" w:lineRule="auto"/>
        <w:rPr>
          <w:rFonts w:ascii="Times New Roman" w:hAnsi="Times New Roman" w:cs="Times New Roman"/>
          <w:sz w:val="24"/>
          <w:szCs w:val="24"/>
        </w:rPr>
      </w:pPr>
      <w:r w:rsidRPr="0059716A">
        <w:rPr>
          <w:rFonts w:ascii="Times New Roman" w:hAnsi="Times New Roman" w:cs="Times New Roman"/>
          <w:sz w:val="24"/>
          <w:szCs w:val="24"/>
        </w:rPr>
        <w:t>The research objectives are: to explore the extent to which large-scale regulatory data can be used to differentiate between different types of charity dissolution</w:t>
      </w:r>
      <w:r w:rsidR="00FF2402">
        <w:rPr>
          <w:rFonts w:ascii="Times New Roman" w:hAnsi="Times New Roman" w:cs="Times New Roman"/>
          <w:sz w:val="24"/>
          <w:szCs w:val="24"/>
        </w:rPr>
        <w:t>, paying particular attention to whether mission completion can be identified</w:t>
      </w:r>
      <w:r w:rsidRPr="0059716A">
        <w:rPr>
          <w:rFonts w:ascii="Times New Roman" w:hAnsi="Times New Roman" w:cs="Times New Roman"/>
          <w:sz w:val="24"/>
          <w:szCs w:val="24"/>
        </w:rPr>
        <w:t xml:space="preserve">; to examine cross-national trends and predictive factors around charity dissolution; and to provide evidence and guidance for charity regulators seeking to target their activities with respect to this outcome. </w:t>
      </w:r>
    </w:p>
    <w:p w14:paraId="4B1B7FC7" w14:textId="3BB27C6B" w:rsidR="006D0843" w:rsidRPr="0059716A" w:rsidRDefault="001115C8"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While the wider project incorporates data from multiple jurisdictions, in this paper we focus on New Zealand. </w:t>
      </w:r>
      <w:r w:rsidR="003762EB" w:rsidRPr="0059716A">
        <w:rPr>
          <w:rFonts w:ascii="Times New Roman" w:hAnsi="Times New Roman" w:cs="Times New Roman"/>
          <w:sz w:val="24"/>
          <w:szCs w:val="24"/>
        </w:rPr>
        <w:t xml:space="preserve">This jurisdiction is of interest for a number of reasons: </w:t>
      </w:r>
      <w:r w:rsidRPr="0059716A">
        <w:rPr>
          <w:rFonts w:ascii="Times New Roman" w:hAnsi="Times New Roman" w:cs="Times New Roman"/>
          <w:sz w:val="24"/>
          <w:szCs w:val="24"/>
        </w:rPr>
        <w:t>the extant literature is US-centric and New Zealand represents an interesting new field of study for this topic (the regulator was established in 2007); the</w:t>
      </w:r>
      <w:r w:rsidR="006D0843" w:rsidRPr="0059716A">
        <w:rPr>
          <w:rFonts w:ascii="Times New Roman" w:hAnsi="Times New Roman" w:cs="Times New Roman"/>
          <w:sz w:val="24"/>
          <w:szCs w:val="24"/>
        </w:rPr>
        <w:t xml:space="preserve"> data are publicly available; </w:t>
      </w:r>
      <w:r w:rsidRPr="0059716A">
        <w:rPr>
          <w:rFonts w:ascii="Times New Roman" w:hAnsi="Times New Roman" w:cs="Times New Roman"/>
          <w:sz w:val="24"/>
          <w:szCs w:val="24"/>
        </w:rPr>
        <w:t>and a synoptic review of the data suggested that dissolution c</w:t>
      </w:r>
      <w:r w:rsidR="00D93FCE">
        <w:rPr>
          <w:rFonts w:ascii="Times New Roman" w:hAnsi="Times New Roman" w:cs="Times New Roman"/>
          <w:sz w:val="24"/>
          <w:szCs w:val="24"/>
        </w:rPr>
        <w:t xml:space="preserve">an </w:t>
      </w:r>
      <w:r w:rsidRPr="0059716A">
        <w:rPr>
          <w:rFonts w:ascii="Times New Roman" w:hAnsi="Times New Roman" w:cs="Times New Roman"/>
          <w:sz w:val="24"/>
          <w:szCs w:val="24"/>
        </w:rPr>
        <w:t>be measured in a granular manner.</w:t>
      </w:r>
    </w:p>
    <w:p w14:paraId="12B59075" w14:textId="44DE86F0" w:rsidR="003762EB" w:rsidRPr="0059716A" w:rsidRDefault="003762EB"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Data</w:t>
      </w:r>
    </w:p>
    <w:p w14:paraId="0E3F61DE" w14:textId="144C84B3" w:rsidR="00DC6689" w:rsidRDefault="00FF2402" w:rsidP="0059716A">
      <w:pPr>
        <w:spacing w:line="480" w:lineRule="auto"/>
        <w:rPr>
          <w:rFonts w:ascii="Times New Roman" w:hAnsi="Times New Roman" w:cs="Times New Roman"/>
          <w:sz w:val="24"/>
          <w:szCs w:val="24"/>
        </w:rPr>
      </w:pPr>
      <w:r>
        <w:rPr>
          <w:rFonts w:ascii="Times New Roman" w:hAnsi="Times New Roman" w:cs="Times New Roman"/>
          <w:sz w:val="24"/>
          <w:szCs w:val="24"/>
        </w:rPr>
        <w:t>Using data science approaches, w</w:t>
      </w:r>
      <w:r w:rsidR="0096349D" w:rsidRPr="0059716A">
        <w:rPr>
          <w:rFonts w:ascii="Times New Roman" w:hAnsi="Times New Roman" w:cs="Times New Roman"/>
          <w:sz w:val="24"/>
          <w:szCs w:val="24"/>
        </w:rPr>
        <w:t xml:space="preserve">e construct a cross-sectional data set of registered charities by </w:t>
      </w:r>
      <w:r w:rsidR="0026237C">
        <w:rPr>
          <w:rFonts w:ascii="Times New Roman" w:hAnsi="Times New Roman" w:cs="Times New Roman"/>
          <w:sz w:val="24"/>
          <w:szCs w:val="24"/>
        </w:rPr>
        <w:t xml:space="preserve">downloading and </w:t>
      </w:r>
      <w:r>
        <w:rPr>
          <w:rFonts w:ascii="Times New Roman" w:hAnsi="Times New Roman" w:cs="Times New Roman"/>
          <w:sz w:val="24"/>
          <w:szCs w:val="24"/>
        </w:rPr>
        <w:t>linking multiple</w:t>
      </w:r>
      <w:r w:rsidR="0096349D" w:rsidRPr="0059716A">
        <w:rPr>
          <w:rFonts w:ascii="Times New Roman" w:hAnsi="Times New Roman" w:cs="Times New Roman"/>
          <w:sz w:val="24"/>
          <w:szCs w:val="24"/>
        </w:rPr>
        <w:t xml:space="preserve"> data files</w:t>
      </w:r>
      <w:r>
        <w:rPr>
          <w:rFonts w:ascii="Times New Roman" w:hAnsi="Times New Roman" w:cs="Times New Roman"/>
          <w:sz w:val="24"/>
          <w:szCs w:val="24"/>
        </w:rPr>
        <w:t xml:space="preserve"> from the New Zealand regulator’s online database</w:t>
      </w:r>
      <w:r w:rsidR="0096349D" w:rsidRPr="0059716A">
        <w:rPr>
          <w:rFonts w:ascii="Times New Roman" w:hAnsi="Times New Roman" w:cs="Times New Roman"/>
          <w:sz w:val="24"/>
          <w:szCs w:val="24"/>
        </w:rPr>
        <w:t xml:space="preserve"> </w:t>
      </w:r>
      <w:r w:rsidR="003762EB" w:rsidRPr="0059716A">
        <w:rPr>
          <w:rFonts w:ascii="Times New Roman" w:hAnsi="Times New Roman" w:cs="Times New Roman"/>
          <w:sz w:val="24"/>
          <w:szCs w:val="24"/>
        </w:rPr>
        <w:t xml:space="preserve">(see the technical notes in Appendix A for details of </w:t>
      </w:r>
      <w:r w:rsidR="00B6309C">
        <w:rPr>
          <w:rFonts w:ascii="Times New Roman" w:hAnsi="Times New Roman" w:cs="Times New Roman"/>
          <w:sz w:val="24"/>
          <w:szCs w:val="24"/>
        </w:rPr>
        <w:t>this process</w:t>
      </w:r>
      <w:r w:rsidR="003762EB" w:rsidRPr="0059716A">
        <w:rPr>
          <w:rFonts w:ascii="Times New Roman" w:hAnsi="Times New Roman" w:cs="Times New Roman"/>
          <w:sz w:val="24"/>
          <w:szCs w:val="24"/>
        </w:rPr>
        <w:t>).</w:t>
      </w:r>
      <w:r w:rsidR="0096349D" w:rsidRPr="0059716A">
        <w:rPr>
          <w:rFonts w:ascii="Times New Roman" w:hAnsi="Times New Roman" w:cs="Times New Roman"/>
          <w:sz w:val="24"/>
          <w:szCs w:val="24"/>
        </w:rPr>
        <w:t xml:space="preserve"> First, our primary data source is the register of charities, a census of all organisations</w:t>
      </w:r>
      <w:r w:rsidR="00BF4619">
        <w:rPr>
          <w:rFonts w:ascii="Times New Roman" w:hAnsi="Times New Roman" w:cs="Times New Roman"/>
          <w:sz w:val="24"/>
          <w:szCs w:val="24"/>
        </w:rPr>
        <w:t xml:space="preserve"> </w:t>
      </w:r>
      <w:r w:rsidR="00BF4619" w:rsidRPr="0059716A">
        <w:rPr>
          <w:rFonts w:ascii="Times New Roman" w:hAnsi="Times New Roman" w:cs="Times New Roman"/>
          <w:sz w:val="24"/>
          <w:szCs w:val="24"/>
        </w:rPr>
        <w:t>(c. 37,000</w:t>
      </w:r>
      <w:r w:rsidR="00BF4619">
        <w:rPr>
          <w:rFonts w:ascii="Times New Roman" w:hAnsi="Times New Roman" w:cs="Times New Roman"/>
          <w:sz w:val="24"/>
          <w:szCs w:val="24"/>
        </w:rPr>
        <w:t>)</w:t>
      </w:r>
      <w:r w:rsidR="0096349D" w:rsidRPr="0059716A">
        <w:rPr>
          <w:rFonts w:ascii="Times New Roman" w:hAnsi="Times New Roman" w:cs="Times New Roman"/>
          <w:sz w:val="24"/>
          <w:szCs w:val="24"/>
        </w:rPr>
        <w:t xml:space="preserve"> that have at some point been registered with the New Zealand regulator as of 20</w:t>
      </w:r>
      <w:r w:rsidR="0096349D" w:rsidRPr="0059716A">
        <w:rPr>
          <w:rFonts w:ascii="Times New Roman" w:hAnsi="Times New Roman" w:cs="Times New Roman"/>
          <w:sz w:val="24"/>
          <w:szCs w:val="24"/>
          <w:vertAlign w:val="superscript"/>
        </w:rPr>
        <w:t>th</w:t>
      </w:r>
      <w:r w:rsidR="0096349D" w:rsidRPr="0059716A">
        <w:rPr>
          <w:rFonts w:ascii="Times New Roman" w:hAnsi="Times New Roman" w:cs="Times New Roman"/>
          <w:sz w:val="24"/>
          <w:szCs w:val="24"/>
        </w:rPr>
        <w:t xml:space="preserve"> </w:t>
      </w:r>
      <w:r w:rsidR="00052E06" w:rsidRPr="0059716A">
        <w:rPr>
          <w:rFonts w:ascii="Times New Roman" w:hAnsi="Times New Roman" w:cs="Times New Roman"/>
          <w:sz w:val="24"/>
          <w:szCs w:val="24"/>
        </w:rPr>
        <w:t xml:space="preserve">of </w:t>
      </w:r>
      <w:r w:rsidR="0096349D" w:rsidRPr="0059716A">
        <w:rPr>
          <w:rFonts w:ascii="Times New Roman" w:hAnsi="Times New Roman" w:cs="Times New Roman"/>
          <w:sz w:val="24"/>
          <w:szCs w:val="24"/>
        </w:rPr>
        <w:t>August, 2019</w:t>
      </w:r>
      <w:r w:rsidR="0082286F" w:rsidRPr="0059716A">
        <w:rPr>
          <w:rFonts w:ascii="Times New Roman" w:hAnsi="Times New Roman" w:cs="Times New Roman"/>
          <w:sz w:val="24"/>
          <w:szCs w:val="24"/>
        </w:rPr>
        <w:t>)</w:t>
      </w:r>
      <w:r w:rsidR="0096349D" w:rsidRPr="0059716A">
        <w:rPr>
          <w:rFonts w:ascii="Times New Roman" w:hAnsi="Times New Roman" w:cs="Times New Roman"/>
          <w:sz w:val="24"/>
          <w:szCs w:val="24"/>
        </w:rPr>
        <w:t>. This file contains co</w:t>
      </w:r>
      <w:r w:rsidR="0082286F" w:rsidRPr="0059716A">
        <w:rPr>
          <w:rFonts w:ascii="Times New Roman" w:hAnsi="Times New Roman" w:cs="Times New Roman"/>
          <w:sz w:val="24"/>
          <w:szCs w:val="24"/>
        </w:rPr>
        <w:t xml:space="preserve">re </w:t>
      </w:r>
      <w:r w:rsidR="0096349D" w:rsidRPr="0059716A">
        <w:rPr>
          <w:rFonts w:ascii="Times New Roman" w:hAnsi="Times New Roman" w:cs="Times New Roman"/>
          <w:sz w:val="24"/>
          <w:szCs w:val="24"/>
        </w:rPr>
        <w:t xml:space="preserve">information such as charity name and registration number, registration status, </w:t>
      </w:r>
      <w:r w:rsidR="0082286F" w:rsidRPr="0059716A">
        <w:rPr>
          <w:rFonts w:ascii="Times New Roman" w:hAnsi="Times New Roman" w:cs="Times New Roman"/>
          <w:sz w:val="24"/>
          <w:szCs w:val="24"/>
        </w:rPr>
        <w:t xml:space="preserve">organisational type, street address etc. Second, we link </w:t>
      </w:r>
      <w:r w:rsidR="00BF4619">
        <w:rPr>
          <w:rFonts w:ascii="Times New Roman" w:hAnsi="Times New Roman" w:cs="Times New Roman"/>
          <w:sz w:val="24"/>
          <w:szCs w:val="24"/>
        </w:rPr>
        <w:t xml:space="preserve">to </w:t>
      </w:r>
      <w:r w:rsidR="0082286F" w:rsidRPr="0059716A">
        <w:rPr>
          <w:rFonts w:ascii="Times New Roman" w:hAnsi="Times New Roman" w:cs="Times New Roman"/>
          <w:sz w:val="24"/>
          <w:szCs w:val="24"/>
        </w:rPr>
        <w:t>information on a charity’s main sector, source of funds and activities, as well as area</w:t>
      </w:r>
      <w:r w:rsidR="00052E06" w:rsidRPr="0059716A">
        <w:rPr>
          <w:rFonts w:ascii="Times New Roman" w:hAnsi="Times New Roman" w:cs="Times New Roman"/>
          <w:sz w:val="24"/>
          <w:szCs w:val="24"/>
        </w:rPr>
        <w:t>s</w:t>
      </w:r>
      <w:r w:rsidR="0082286F" w:rsidRPr="0059716A">
        <w:rPr>
          <w:rFonts w:ascii="Times New Roman" w:hAnsi="Times New Roman" w:cs="Times New Roman"/>
          <w:sz w:val="24"/>
          <w:szCs w:val="24"/>
        </w:rPr>
        <w:t xml:space="preserve"> of operation and number of trustees (which all exist as separate data files). Third, we construct a panel data set of annual returns filed by a subset of these charities (c. 32,</w:t>
      </w:r>
      <w:r w:rsidR="00052E06" w:rsidRPr="0059716A">
        <w:rPr>
          <w:rFonts w:ascii="Times New Roman" w:hAnsi="Times New Roman" w:cs="Times New Roman"/>
          <w:sz w:val="24"/>
          <w:szCs w:val="24"/>
        </w:rPr>
        <w:t xml:space="preserve">000 submitting </w:t>
      </w:r>
      <w:r w:rsidR="0082286F" w:rsidRPr="0059716A">
        <w:rPr>
          <w:rFonts w:ascii="Times New Roman" w:hAnsi="Times New Roman" w:cs="Times New Roman"/>
          <w:sz w:val="24"/>
          <w:szCs w:val="24"/>
        </w:rPr>
        <w:t>c. 190,000 returns over the period 2007-2019) and operationalise a number of</w:t>
      </w:r>
      <w:r w:rsidR="00BF4619">
        <w:rPr>
          <w:rFonts w:ascii="Times New Roman" w:hAnsi="Times New Roman" w:cs="Times New Roman"/>
          <w:sz w:val="24"/>
          <w:szCs w:val="24"/>
        </w:rPr>
        <w:t xml:space="preserve"> summary</w:t>
      </w:r>
      <w:r w:rsidR="0082286F" w:rsidRPr="0059716A">
        <w:rPr>
          <w:rFonts w:ascii="Times New Roman" w:hAnsi="Times New Roman" w:cs="Times New Roman"/>
          <w:sz w:val="24"/>
          <w:szCs w:val="24"/>
        </w:rPr>
        <w:t xml:space="preserve"> measures </w:t>
      </w:r>
      <w:r w:rsidR="00BF4619">
        <w:rPr>
          <w:rFonts w:ascii="Times New Roman" w:hAnsi="Times New Roman" w:cs="Times New Roman"/>
          <w:sz w:val="24"/>
          <w:szCs w:val="24"/>
        </w:rPr>
        <w:t>in order to test our hypotheses</w:t>
      </w:r>
      <w:r w:rsidR="0082286F" w:rsidRPr="0059716A">
        <w:rPr>
          <w:rFonts w:ascii="Times New Roman" w:hAnsi="Times New Roman" w:cs="Times New Roman"/>
          <w:sz w:val="24"/>
          <w:szCs w:val="24"/>
        </w:rPr>
        <w:t xml:space="preserve"> (e.</w:t>
      </w:r>
      <w:r w:rsidR="00BF4619">
        <w:rPr>
          <w:rFonts w:ascii="Times New Roman" w:hAnsi="Times New Roman" w:cs="Times New Roman"/>
          <w:sz w:val="24"/>
          <w:szCs w:val="24"/>
        </w:rPr>
        <w:t>g. average annual gross income, average degree of revenue diversification);</w:t>
      </w:r>
      <w:r w:rsidR="0082286F" w:rsidRPr="0059716A">
        <w:rPr>
          <w:rFonts w:ascii="Times New Roman" w:hAnsi="Times New Roman" w:cs="Times New Roman"/>
          <w:sz w:val="24"/>
          <w:szCs w:val="24"/>
        </w:rPr>
        <w:t xml:space="preserve"> </w:t>
      </w:r>
      <w:r w:rsidR="00BF4619">
        <w:rPr>
          <w:rFonts w:ascii="Times New Roman" w:hAnsi="Times New Roman" w:cs="Times New Roman"/>
          <w:sz w:val="24"/>
          <w:szCs w:val="24"/>
        </w:rPr>
        <w:t xml:space="preserve">we </w:t>
      </w:r>
      <w:r w:rsidR="00BF4619">
        <w:rPr>
          <w:rFonts w:ascii="Times New Roman" w:hAnsi="Times New Roman" w:cs="Times New Roman"/>
          <w:sz w:val="24"/>
          <w:szCs w:val="24"/>
        </w:rPr>
        <w:lastRenderedPageBreak/>
        <w:t>then link this information</w:t>
      </w:r>
      <w:r w:rsidR="0082286F" w:rsidRPr="0059716A">
        <w:rPr>
          <w:rFonts w:ascii="Times New Roman" w:hAnsi="Times New Roman" w:cs="Times New Roman"/>
          <w:sz w:val="24"/>
          <w:szCs w:val="24"/>
        </w:rPr>
        <w:t xml:space="preserve"> </w:t>
      </w:r>
      <w:r w:rsidR="00BF4619">
        <w:rPr>
          <w:rFonts w:ascii="Times New Roman" w:hAnsi="Times New Roman" w:cs="Times New Roman"/>
          <w:sz w:val="24"/>
          <w:szCs w:val="24"/>
        </w:rPr>
        <w:t>to the cross-sectional register of charities</w:t>
      </w:r>
      <w:r w:rsidR="0082286F" w:rsidRPr="0059716A">
        <w:rPr>
          <w:rFonts w:ascii="Times New Roman" w:hAnsi="Times New Roman" w:cs="Times New Roman"/>
          <w:sz w:val="24"/>
          <w:szCs w:val="24"/>
        </w:rPr>
        <w:t xml:space="preserve"> via a chari</w:t>
      </w:r>
      <w:r w:rsidR="0054565C">
        <w:rPr>
          <w:rFonts w:ascii="Times New Roman" w:hAnsi="Times New Roman" w:cs="Times New Roman"/>
          <w:sz w:val="24"/>
          <w:szCs w:val="24"/>
        </w:rPr>
        <w:t>ty’ unique registration number.</w:t>
      </w:r>
    </w:p>
    <w:p w14:paraId="58E5107A" w14:textId="77777777" w:rsidR="001B66AC" w:rsidRPr="0059716A" w:rsidRDefault="001B66AC" w:rsidP="001B66AC">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Sample Building</w:t>
      </w:r>
    </w:p>
    <w:p w14:paraId="18DFB487" w14:textId="5157ED02" w:rsidR="001B66AC" w:rsidRPr="0059716A" w:rsidRDefault="001B66AC" w:rsidP="001B66AC">
      <w:pPr>
        <w:spacing w:line="480" w:lineRule="auto"/>
        <w:rPr>
          <w:rFonts w:ascii="Times New Roman" w:hAnsi="Times New Roman" w:cs="Times New Roman"/>
          <w:sz w:val="24"/>
          <w:szCs w:val="24"/>
        </w:rPr>
      </w:pPr>
      <w:r w:rsidRPr="0059716A">
        <w:rPr>
          <w:rFonts w:ascii="Times New Roman" w:hAnsi="Times New Roman" w:cs="Times New Roman"/>
          <w:sz w:val="24"/>
          <w:szCs w:val="24"/>
        </w:rPr>
        <w:t>Our initial data, drawn from the register of charities, comprised of 37,903 observations for the same number of organisations. For data cleaning, we first excluded charities for which we could not identify dissolution type. Second, we drop observations for charities that never filed an annual return with the regulator; while this results in a moderate drop in sample size (c. 5,000 organisations), it is necessary as many of the independent variables are derived from annual return</w:t>
      </w:r>
      <w:r w:rsidR="00BF4619">
        <w:rPr>
          <w:rFonts w:ascii="Times New Roman" w:hAnsi="Times New Roman" w:cs="Times New Roman"/>
          <w:sz w:val="24"/>
          <w:szCs w:val="24"/>
        </w:rPr>
        <w:t>s</w:t>
      </w:r>
      <w:r w:rsidRPr="0059716A">
        <w:rPr>
          <w:rFonts w:ascii="Times New Roman" w:hAnsi="Times New Roman" w:cs="Times New Roman"/>
          <w:sz w:val="24"/>
          <w:szCs w:val="24"/>
        </w:rPr>
        <w:t xml:space="preserve"> data. Finally, we drop observations for which there is missing or clearly erroneous data for the independent variables (e.g. negative annual gross income).</w:t>
      </w:r>
      <w:r w:rsidR="00AD5330">
        <w:rPr>
          <w:rFonts w:ascii="Times New Roman" w:hAnsi="Times New Roman" w:cs="Times New Roman"/>
          <w:sz w:val="24"/>
          <w:szCs w:val="24"/>
        </w:rPr>
        <w:t xml:space="preserve"> The final sample is composed of</w:t>
      </w:r>
      <w:r w:rsidRPr="0059716A">
        <w:rPr>
          <w:rFonts w:ascii="Times New Roman" w:hAnsi="Times New Roman" w:cs="Times New Roman"/>
          <w:sz w:val="24"/>
          <w:szCs w:val="24"/>
        </w:rPr>
        <w:t xml:space="preserve"> </w:t>
      </w:r>
      <w:r w:rsidR="00AD5330" w:rsidRPr="00AD5330">
        <w:rPr>
          <w:rFonts w:ascii="Times New Roman" w:hAnsi="Times New Roman" w:cs="Times New Roman"/>
          <w:sz w:val="24"/>
          <w:szCs w:val="24"/>
        </w:rPr>
        <w:t>29,458</w:t>
      </w:r>
      <w:r w:rsidRPr="0059716A">
        <w:rPr>
          <w:rFonts w:ascii="Times New Roman" w:hAnsi="Times New Roman" w:cs="Times New Roman"/>
          <w:i/>
          <w:sz w:val="24"/>
          <w:szCs w:val="24"/>
        </w:rPr>
        <w:t xml:space="preserve"> </w:t>
      </w:r>
      <w:r w:rsidRPr="0059716A">
        <w:rPr>
          <w:rFonts w:ascii="Times New Roman" w:hAnsi="Times New Roman" w:cs="Times New Roman"/>
          <w:sz w:val="24"/>
          <w:szCs w:val="24"/>
        </w:rPr>
        <w:t>observations f</w:t>
      </w:r>
      <w:r w:rsidR="00AD5330">
        <w:rPr>
          <w:rFonts w:ascii="Times New Roman" w:hAnsi="Times New Roman" w:cs="Times New Roman"/>
          <w:sz w:val="24"/>
          <w:szCs w:val="24"/>
        </w:rPr>
        <w:t>or the same number of charities.</w:t>
      </w:r>
    </w:p>
    <w:p w14:paraId="2178491F" w14:textId="34A8DCF7" w:rsidR="003762EB" w:rsidRPr="0059716A" w:rsidRDefault="00052E06"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Variables</w:t>
      </w:r>
    </w:p>
    <w:p w14:paraId="6735AC14" w14:textId="1C06EAED" w:rsidR="005C5DA0" w:rsidRPr="0059716A" w:rsidRDefault="005C5DA0" w:rsidP="0059716A">
      <w:pPr>
        <w:spacing w:line="480" w:lineRule="auto"/>
        <w:rPr>
          <w:rFonts w:ascii="Times New Roman" w:hAnsi="Times New Roman" w:cs="Times New Roman"/>
          <w:i/>
          <w:sz w:val="24"/>
          <w:szCs w:val="24"/>
        </w:rPr>
      </w:pPr>
      <w:r w:rsidRPr="0059716A">
        <w:rPr>
          <w:rFonts w:ascii="Times New Roman" w:hAnsi="Times New Roman" w:cs="Times New Roman"/>
          <w:i/>
          <w:sz w:val="24"/>
          <w:szCs w:val="24"/>
        </w:rPr>
        <w:t>Dependent variable</w:t>
      </w:r>
    </w:p>
    <w:p w14:paraId="0CCD508B" w14:textId="4AB67E98" w:rsidR="00A37E00" w:rsidRPr="000620CB" w:rsidRDefault="00420A06" w:rsidP="000620CB">
      <w:pPr>
        <w:spacing w:line="480" w:lineRule="auto"/>
        <w:rPr>
          <w:rFonts w:ascii="Times New Roman" w:hAnsi="Times New Roman" w:cs="Times New Roman"/>
          <w:sz w:val="24"/>
          <w:szCs w:val="24"/>
        </w:rPr>
      </w:pPr>
      <w:r>
        <w:rPr>
          <w:rFonts w:ascii="Times New Roman" w:hAnsi="Times New Roman" w:cs="Times New Roman"/>
          <w:sz w:val="24"/>
          <w:szCs w:val="24"/>
        </w:rPr>
        <w:t>W</w:t>
      </w:r>
      <w:r w:rsidR="005C5DA0" w:rsidRPr="0059716A">
        <w:rPr>
          <w:rFonts w:ascii="Times New Roman" w:hAnsi="Times New Roman" w:cs="Times New Roman"/>
          <w:sz w:val="24"/>
          <w:szCs w:val="24"/>
        </w:rPr>
        <w:t xml:space="preserve">e </w:t>
      </w:r>
      <w:r>
        <w:rPr>
          <w:rFonts w:ascii="Times New Roman" w:hAnsi="Times New Roman" w:cs="Times New Roman"/>
          <w:sz w:val="24"/>
          <w:szCs w:val="24"/>
        </w:rPr>
        <w:t xml:space="preserve">define dissolution as the state of being deregistered with the </w:t>
      </w:r>
      <w:r w:rsidR="00EF4C9F">
        <w:rPr>
          <w:rFonts w:ascii="Times New Roman" w:hAnsi="Times New Roman" w:cs="Times New Roman"/>
          <w:sz w:val="24"/>
          <w:szCs w:val="24"/>
        </w:rPr>
        <w:t xml:space="preserve">New Zealand </w:t>
      </w:r>
      <w:r>
        <w:rPr>
          <w:rFonts w:ascii="Times New Roman" w:hAnsi="Times New Roman" w:cs="Times New Roman"/>
          <w:sz w:val="24"/>
          <w:szCs w:val="24"/>
        </w:rPr>
        <w:t>charity regulator</w:t>
      </w:r>
      <w:r w:rsidR="005C5DA0" w:rsidRPr="0059716A">
        <w:rPr>
          <w:rFonts w:ascii="Times New Roman" w:hAnsi="Times New Roman" w:cs="Times New Roman"/>
          <w:sz w:val="24"/>
          <w:szCs w:val="24"/>
        </w:rPr>
        <w:t xml:space="preserve">: this includes organisations that continue to exist but </w:t>
      </w:r>
      <w:r w:rsidR="00853CEB" w:rsidRPr="0059716A">
        <w:rPr>
          <w:rFonts w:ascii="Times New Roman" w:hAnsi="Times New Roman" w:cs="Times New Roman"/>
          <w:sz w:val="24"/>
          <w:szCs w:val="24"/>
        </w:rPr>
        <w:t>voluntarily revoked their</w:t>
      </w:r>
      <w:r w:rsidR="005C5DA0" w:rsidRPr="0059716A">
        <w:rPr>
          <w:rFonts w:ascii="Times New Roman" w:hAnsi="Times New Roman" w:cs="Times New Roman"/>
          <w:sz w:val="24"/>
          <w:szCs w:val="24"/>
        </w:rPr>
        <w:t xml:space="preserve"> charity status, </w:t>
      </w:r>
      <w:r w:rsidR="00853CEB" w:rsidRPr="0059716A">
        <w:rPr>
          <w:rFonts w:ascii="Times New Roman" w:hAnsi="Times New Roman" w:cs="Times New Roman"/>
          <w:sz w:val="24"/>
          <w:szCs w:val="24"/>
        </w:rPr>
        <w:t xml:space="preserve">charities that have had their status removed for non-compliance with regulatory requirements, organisations that have merged or amalgamated with other charities etc. </w:t>
      </w:r>
      <w:r>
        <w:rPr>
          <w:rFonts w:ascii="Times New Roman" w:hAnsi="Times New Roman" w:cs="Times New Roman"/>
          <w:sz w:val="24"/>
          <w:szCs w:val="24"/>
        </w:rPr>
        <w:t xml:space="preserve">Within this conceptualisation we define mission completion as a charity that was voluntarily dissolved i.e. an organisation that no longer possesses charity status and no longer operates in any other organisational form. This is a limited but necessary operationalisation due to the </w:t>
      </w:r>
      <w:r w:rsidR="00EF4C9F">
        <w:rPr>
          <w:rFonts w:ascii="Times New Roman" w:hAnsi="Times New Roman" w:cs="Times New Roman"/>
          <w:sz w:val="24"/>
          <w:szCs w:val="24"/>
        </w:rPr>
        <w:t xml:space="preserve">available </w:t>
      </w:r>
      <w:r>
        <w:rPr>
          <w:rFonts w:ascii="Times New Roman" w:hAnsi="Times New Roman" w:cs="Times New Roman"/>
          <w:sz w:val="24"/>
          <w:szCs w:val="24"/>
        </w:rPr>
        <w:t xml:space="preserve">data. </w:t>
      </w:r>
      <w:r w:rsidR="005C5DA0" w:rsidRPr="0059716A">
        <w:rPr>
          <w:rFonts w:ascii="Times New Roman" w:hAnsi="Times New Roman" w:cs="Times New Roman"/>
          <w:sz w:val="24"/>
          <w:szCs w:val="24"/>
        </w:rPr>
        <w:t xml:space="preserve">Therefore, we specify two dependent variables for New Zealand. The first is a binary measure of whether a charity is no longer registered with the regulator; this is defined as a charity whose status is recorded as ‘Deregistered’ on the public register of charities. The second is a multinomial measure of dissolution, where </w:t>
      </w:r>
      <w:r w:rsidR="00853CEB" w:rsidRPr="0059716A">
        <w:rPr>
          <w:rFonts w:ascii="Times New Roman" w:hAnsi="Times New Roman" w:cs="Times New Roman"/>
          <w:sz w:val="24"/>
          <w:szCs w:val="24"/>
        </w:rPr>
        <w:t xml:space="preserve">we disaggregate </w:t>
      </w:r>
      <w:r w:rsidR="00853CEB" w:rsidRPr="0059716A">
        <w:rPr>
          <w:rFonts w:ascii="Times New Roman" w:hAnsi="Times New Roman" w:cs="Times New Roman"/>
          <w:sz w:val="24"/>
          <w:szCs w:val="24"/>
        </w:rPr>
        <w:lastRenderedPageBreak/>
        <w:t xml:space="preserve">deregistered charities by </w:t>
      </w:r>
      <w:r w:rsidR="00EF4C9F">
        <w:rPr>
          <w:rFonts w:ascii="Times New Roman" w:hAnsi="Times New Roman" w:cs="Times New Roman"/>
          <w:sz w:val="24"/>
          <w:szCs w:val="24"/>
        </w:rPr>
        <w:t>type of</w:t>
      </w:r>
      <w:r w:rsidR="00853CEB" w:rsidRPr="0059716A">
        <w:rPr>
          <w:rFonts w:ascii="Times New Roman" w:hAnsi="Times New Roman" w:cs="Times New Roman"/>
          <w:sz w:val="24"/>
          <w:szCs w:val="24"/>
        </w:rPr>
        <w:t xml:space="preserve"> dissolution. </w:t>
      </w:r>
      <w:r w:rsidR="00EF4C9F">
        <w:rPr>
          <w:rFonts w:ascii="Times New Roman" w:hAnsi="Times New Roman" w:cs="Times New Roman"/>
          <w:sz w:val="24"/>
          <w:szCs w:val="24"/>
        </w:rPr>
        <w:t>We identify dissolution by using</w:t>
      </w:r>
      <w:r w:rsidR="00853CEB" w:rsidRPr="0059716A">
        <w:rPr>
          <w:rFonts w:ascii="Times New Roman" w:hAnsi="Times New Roman" w:cs="Times New Roman"/>
          <w:sz w:val="24"/>
          <w:szCs w:val="24"/>
        </w:rPr>
        <w:t xml:space="preserve"> regular expressions to extract the section of the </w:t>
      </w:r>
      <w:r w:rsidR="00EF4C9F">
        <w:rPr>
          <w:rFonts w:ascii="Times New Roman" w:hAnsi="Times New Roman" w:cs="Times New Roman"/>
          <w:sz w:val="24"/>
          <w:szCs w:val="24"/>
        </w:rPr>
        <w:t xml:space="preserve">Charities </w:t>
      </w:r>
      <w:r w:rsidR="00853CEB" w:rsidRPr="0059716A">
        <w:rPr>
          <w:rFonts w:ascii="Times New Roman" w:hAnsi="Times New Roman" w:cs="Times New Roman"/>
          <w:sz w:val="24"/>
          <w:szCs w:val="24"/>
        </w:rPr>
        <w:t>Act</w:t>
      </w:r>
      <w:r w:rsidR="00EF4C9F">
        <w:rPr>
          <w:rFonts w:ascii="Times New Roman" w:hAnsi="Times New Roman" w:cs="Times New Roman"/>
          <w:sz w:val="24"/>
          <w:szCs w:val="24"/>
        </w:rPr>
        <w:t xml:space="preserve"> 2005 an</w:t>
      </w:r>
      <w:r w:rsidR="00853CEB" w:rsidRPr="0059716A">
        <w:rPr>
          <w:rFonts w:ascii="Times New Roman" w:hAnsi="Times New Roman" w:cs="Times New Roman"/>
          <w:sz w:val="24"/>
          <w:szCs w:val="24"/>
        </w:rPr>
        <w:t xml:space="preserve"> </w:t>
      </w:r>
      <w:r w:rsidR="00EF4C9F">
        <w:rPr>
          <w:rFonts w:ascii="Times New Roman" w:hAnsi="Times New Roman" w:cs="Times New Roman"/>
          <w:sz w:val="24"/>
          <w:szCs w:val="24"/>
        </w:rPr>
        <w:t>organisation</w:t>
      </w:r>
      <w:r w:rsidR="00853CEB" w:rsidRPr="0059716A">
        <w:rPr>
          <w:rFonts w:ascii="Times New Roman" w:hAnsi="Times New Roman" w:cs="Times New Roman"/>
          <w:sz w:val="24"/>
          <w:szCs w:val="24"/>
        </w:rPr>
        <w:t xml:space="preserve"> was deregistered under from the relevant field in the data </w:t>
      </w:r>
      <w:r w:rsidR="004737EF">
        <w:rPr>
          <w:rFonts w:ascii="Times New Roman" w:hAnsi="Times New Roman" w:cs="Times New Roman"/>
          <w:sz w:val="24"/>
          <w:szCs w:val="24"/>
        </w:rPr>
        <w:t>file</w:t>
      </w:r>
      <w:r w:rsidR="000620CB">
        <w:rPr>
          <w:rFonts w:ascii="Times New Roman" w:hAnsi="Times New Roman" w:cs="Times New Roman"/>
          <w:sz w:val="24"/>
          <w:szCs w:val="24"/>
        </w:rPr>
        <w:t>. For example, “</w:t>
      </w:r>
      <w:r w:rsidR="000620CB" w:rsidRPr="000620CB">
        <w:rPr>
          <w:rFonts w:ascii="Times New Roman" w:hAnsi="Times New Roman" w:cs="Times New Roman"/>
          <w:sz w:val="24"/>
          <w:szCs w:val="24"/>
        </w:rPr>
        <w:t>This entity was removed from the Charities Register under section 32(1)(b) of the Charities Act because it failed to file Annual Returns as required by section 41 of the Charities Act.</w:t>
      </w:r>
      <w:r w:rsidR="000620CB">
        <w:rPr>
          <w:rFonts w:ascii="Times New Roman" w:hAnsi="Times New Roman" w:cs="Times New Roman"/>
          <w:sz w:val="24"/>
          <w:szCs w:val="24"/>
        </w:rPr>
        <w:t>” is coded as “Failed to file”.</w:t>
      </w:r>
      <w:r w:rsidR="004227A4" w:rsidRPr="0059716A">
        <w:rPr>
          <w:rFonts w:ascii="Times New Roman" w:hAnsi="Times New Roman" w:cs="Times New Roman"/>
          <w:sz w:val="24"/>
          <w:szCs w:val="24"/>
        </w:rPr>
        <w:t xml:space="preserve"> Table </w:t>
      </w:r>
      <w:r w:rsidR="00EF4C9F">
        <w:rPr>
          <w:rFonts w:ascii="Times New Roman" w:hAnsi="Times New Roman" w:cs="Times New Roman"/>
          <w:sz w:val="24"/>
          <w:szCs w:val="24"/>
        </w:rPr>
        <w:t>1 describes</w:t>
      </w:r>
      <w:r w:rsidR="004227A4" w:rsidRPr="0059716A">
        <w:rPr>
          <w:rFonts w:ascii="Times New Roman" w:hAnsi="Times New Roman" w:cs="Times New Roman"/>
          <w:sz w:val="24"/>
          <w:szCs w:val="24"/>
        </w:rPr>
        <w:t xml:space="preserve"> our two dependent variables.</w:t>
      </w:r>
    </w:p>
    <w:p w14:paraId="1DBD6641" w14:textId="7C2147FF" w:rsidR="004737EF" w:rsidRPr="0059716A" w:rsidRDefault="004737EF" w:rsidP="004737EF">
      <w:pPr>
        <w:spacing w:line="480" w:lineRule="auto"/>
        <w:rPr>
          <w:rFonts w:ascii="Times New Roman" w:hAnsi="Times New Roman" w:cs="Times New Roman"/>
          <w:sz w:val="24"/>
          <w:szCs w:val="24"/>
        </w:rPr>
      </w:pPr>
      <w:r w:rsidRPr="0059716A">
        <w:rPr>
          <w:rFonts w:ascii="Times New Roman" w:hAnsi="Times New Roman" w:cs="Times New Roman"/>
          <w:b/>
          <w:sz w:val="24"/>
          <w:szCs w:val="24"/>
        </w:rPr>
        <w:t>Table 1.</w:t>
      </w:r>
      <w:r w:rsidRPr="0059716A">
        <w:rPr>
          <w:rFonts w:ascii="Times New Roman" w:hAnsi="Times New Roman" w:cs="Times New Roman"/>
          <w:sz w:val="24"/>
          <w:szCs w:val="24"/>
        </w:rPr>
        <w:t xml:space="preserve"> Dependent Variable</w:t>
      </w:r>
      <w:r w:rsidR="000620CB">
        <w:rPr>
          <w:rFonts w:ascii="Times New Roman" w:hAnsi="Times New Roman" w:cs="Times New Roman"/>
          <w:sz w:val="24"/>
          <w:szCs w:val="24"/>
        </w:rPr>
        <w:t>s - Operationalisation</w:t>
      </w:r>
    </w:p>
    <w:tbl>
      <w:tblPr>
        <w:tblW w:w="5000" w:type="pct"/>
        <w:tblCellMar>
          <w:left w:w="75" w:type="dxa"/>
          <w:right w:w="75" w:type="dxa"/>
        </w:tblCellMar>
        <w:tblLook w:val="0000" w:firstRow="0" w:lastRow="0" w:firstColumn="0" w:lastColumn="0" w:noHBand="0" w:noVBand="0"/>
      </w:tblPr>
      <w:tblGrid>
        <w:gridCol w:w="1986"/>
        <w:gridCol w:w="1747"/>
        <w:gridCol w:w="5293"/>
      </w:tblGrid>
      <w:tr w:rsidR="004737EF" w:rsidRPr="0059716A" w14:paraId="47990366" w14:textId="77777777" w:rsidTr="004737EF">
        <w:tc>
          <w:tcPr>
            <w:tcW w:w="1100" w:type="pct"/>
            <w:tcBorders>
              <w:top w:val="single" w:sz="4" w:space="0" w:color="auto"/>
              <w:left w:val="nil"/>
              <w:bottom w:val="single" w:sz="6" w:space="0" w:color="auto"/>
              <w:right w:val="nil"/>
            </w:tcBorders>
          </w:tcPr>
          <w:p w14:paraId="06089E43"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Concept</w:t>
            </w:r>
          </w:p>
        </w:tc>
        <w:tc>
          <w:tcPr>
            <w:tcW w:w="968" w:type="pct"/>
            <w:tcBorders>
              <w:top w:val="single" w:sz="4" w:space="0" w:color="auto"/>
              <w:left w:val="nil"/>
              <w:bottom w:val="single" w:sz="6" w:space="0" w:color="auto"/>
              <w:right w:val="nil"/>
            </w:tcBorders>
          </w:tcPr>
          <w:p w14:paraId="13AC313B"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Variable</w:t>
            </w:r>
          </w:p>
        </w:tc>
        <w:tc>
          <w:tcPr>
            <w:tcW w:w="2932" w:type="pct"/>
            <w:tcBorders>
              <w:top w:val="single" w:sz="4" w:space="0" w:color="auto"/>
              <w:left w:val="nil"/>
              <w:bottom w:val="single" w:sz="6" w:space="0" w:color="auto"/>
              <w:right w:val="nil"/>
            </w:tcBorders>
          </w:tcPr>
          <w:p w14:paraId="4FE96373"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Operationalisation</w:t>
            </w:r>
          </w:p>
        </w:tc>
      </w:tr>
      <w:tr w:rsidR="004737EF" w:rsidRPr="0059716A" w14:paraId="5492E321" w14:textId="77777777" w:rsidTr="004737EF">
        <w:tc>
          <w:tcPr>
            <w:tcW w:w="1100" w:type="pct"/>
            <w:tcBorders>
              <w:top w:val="single" w:sz="6" w:space="0" w:color="auto"/>
              <w:left w:val="nil"/>
              <w:right w:val="nil"/>
            </w:tcBorders>
          </w:tcPr>
          <w:p w14:paraId="54244AFA" w14:textId="507741B0"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Dissolution</w:t>
            </w:r>
          </w:p>
        </w:tc>
        <w:tc>
          <w:tcPr>
            <w:tcW w:w="968" w:type="pct"/>
            <w:tcBorders>
              <w:top w:val="single" w:sz="6" w:space="0" w:color="auto"/>
              <w:left w:val="nil"/>
              <w:right w:val="nil"/>
            </w:tcBorders>
          </w:tcPr>
          <w:p w14:paraId="0F5D3A61" w14:textId="2E64B882"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w:t>
            </w:r>
            <w:r>
              <w:rPr>
                <w:rFonts w:ascii="Times New Roman" w:hAnsi="Times New Roman" w:cs="Times New Roman"/>
                <w:sz w:val="24"/>
                <w:szCs w:val="24"/>
              </w:rPr>
              <w:t>deregistered</w:t>
            </w:r>
            <w:r w:rsidRPr="0059716A">
              <w:rPr>
                <w:rFonts w:ascii="Times New Roman" w:hAnsi="Times New Roman" w:cs="Times New Roman"/>
                <w:sz w:val="24"/>
                <w:szCs w:val="24"/>
              </w:rPr>
              <w:t>`</w:t>
            </w:r>
          </w:p>
          <w:p w14:paraId="069561C0"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c>
          <w:tcPr>
            <w:tcW w:w="2932" w:type="pct"/>
            <w:tcBorders>
              <w:top w:val="single" w:sz="6" w:space="0" w:color="auto"/>
              <w:left w:val="nil"/>
              <w:right w:val="nil"/>
            </w:tcBorders>
          </w:tcPr>
          <w:p w14:paraId="2BD3B34E" w14:textId="7C130740"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Binary</w:t>
            </w:r>
            <w:r w:rsidRPr="0059716A">
              <w:rPr>
                <w:rFonts w:ascii="Times New Roman" w:hAnsi="Times New Roman" w:cs="Times New Roman"/>
                <w:sz w:val="24"/>
                <w:szCs w:val="24"/>
              </w:rPr>
              <w:t xml:space="preserve"> measure of </w:t>
            </w:r>
            <w:r>
              <w:rPr>
                <w:rFonts w:ascii="Times New Roman" w:hAnsi="Times New Roman" w:cs="Times New Roman"/>
                <w:sz w:val="24"/>
                <w:szCs w:val="24"/>
              </w:rPr>
              <w:t>the current status of a charity:</w:t>
            </w:r>
          </w:p>
          <w:p w14:paraId="739285C8"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0 = Registered</w:t>
            </w:r>
          </w:p>
          <w:p w14:paraId="68425A66" w14:textId="7568C1E5"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 = Deregistered</w:t>
            </w:r>
          </w:p>
        </w:tc>
      </w:tr>
      <w:tr w:rsidR="004737EF" w:rsidRPr="0059716A" w14:paraId="5622C49D" w14:textId="77777777" w:rsidTr="004737EF">
        <w:tc>
          <w:tcPr>
            <w:tcW w:w="1100" w:type="pct"/>
            <w:tcBorders>
              <w:left w:val="nil"/>
              <w:right w:val="nil"/>
            </w:tcBorders>
          </w:tcPr>
          <w:p w14:paraId="5993645B"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c>
          <w:tcPr>
            <w:tcW w:w="968" w:type="pct"/>
            <w:tcBorders>
              <w:left w:val="nil"/>
              <w:right w:val="nil"/>
            </w:tcBorders>
          </w:tcPr>
          <w:p w14:paraId="067DEA27"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c>
          <w:tcPr>
            <w:tcW w:w="2932" w:type="pct"/>
            <w:tcBorders>
              <w:left w:val="nil"/>
              <w:right w:val="nil"/>
            </w:tcBorders>
          </w:tcPr>
          <w:p w14:paraId="278C8DA5" w14:textId="77777777"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r>
      <w:tr w:rsidR="004737EF" w:rsidRPr="0059716A" w14:paraId="6DAF959C" w14:textId="77777777" w:rsidTr="004737EF">
        <w:tc>
          <w:tcPr>
            <w:tcW w:w="1100" w:type="pct"/>
            <w:tcBorders>
              <w:left w:val="nil"/>
              <w:bottom w:val="single" w:sz="4" w:space="0" w:color="auto"/>
              <w:right w:val="nil"/>
            </w:tcBorders>
          </w:tcPr>
          <w:p w14:paraId="42CE2A4B" w14:textId="195FCC74"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Dissolution type</w:t>
            </w:r>
          </w:p>
        </w:tc>
        <w:tc>
          <w:tcPr>
            <w:tcW w:w="968" w:type="pct"/>
            <w:tcBorders>
              <w:left w:val="nil"/>
              <w:bottom w:val="single" w:sz="4" w:space="0" w:color="auto"/>
              <w:right w:val="nil"/>
            </w:tcBorders>
          </w:tcPr>
          <w:p w14:paraId="7A39508A" w14:textId="5FFAFF23"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`orgdiss`</w:t>
            </w:r>
          </w:p>
        </w:tc>
        <w:tc>
          <w:tcPr>
            <w:tcW w:w="2932" w:type="pct"/>
            <w:tcBorders>
              <w:left w:val="nil"/>
              <w:bottom w:val="single" w:sz="4" w:space="0" w:color="auto"/>
              <w:right w:val="nil"/>
            </w:tcBorders>
          </w:tcPr>
          <w:p w14:paraId="29BEA620" w14:textId="14DF9F6C"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Multinomial measure of a charity’s dissolution type:</w:t>
            </w:r>
          </w:p>
          <w:p w14:paraId="777C546C" w14:textId="2705EF6B"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0 = Registered</w:t>
            </w:r>
          </w:p>
          <w:p w14:paraId="5D011792" w14:textId="77777777"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 = Failed to file</w:t>
            </w:r>
          </w:p>
          <w:p w14:paraId="08C6244B" w14:textId="77777777"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 = Voluntary removal</w:t>
            </w:r>
          </w:p>
          <w:p w14:paraId="03D3C169" w14:textId="10050832"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3 = Wound up</w:t>
            </w:r>
          </w:p>
        </w:tc>
      </w:tr>
    </w:tbl>
    <w:p w14:paraId="23577315" w14:textId="369271DF" w:rsidR="004737EF" w:rsidRPr="00E94ED4" w:rsidRDefault="000620CB" w:rsidP="0059716A">
      <w:pPr>
        <w:spacing w:line="480" w:lineRule="auto"/>
        <w:rPr>
          <w:rFonts w:ascii="Times New Roman" w:hAnsi="Times New Roman" w:cs="Times New Roman"/>
          <w:sz w:val="20"/>
          <w:szCs w:val="20"/>
        </w:rPr>
      </w:pPr>
      <w:r w:rsidRPr="00E94ED4">
        <w:rPr>
          <w:rFonts w:ascii="Times New Roman" w:hAnsi="Times New Roman" w:cs="Times New Roman"/>
          <w:sz w:val="20"/>
          <w:szCs w:val="20"/>
        </w:rPr>
        <w:t xml:space="preserve">Note: there are other types of dissolution (e.g. mergers) that occur </w:t>
      </w:r>
      <w:r w:rsidR="00EF4C9F">
        <w:rPr>
          <w:rFonts w:ascii="Times New Roman" w:hAnsi="Times New Roman" w:cs="Times New Roman"/>
          <w:sz w:val="20"/>
          <w:szCs w:val="20"/>
        </w:rPr>
        <w:t xml:space="preserve">very </w:t>
      </w:r>
      <w:r w:rsidRPr="00E94ED4">
        <w:rPr>
          <w:rFonts w:ascii="Times New Roman" w:hAnsi="Times New Roman" w:cs="Times New Roman"/>
          <w:sz w:val="20"/>
          <w:szCs w:val="20"/>
        </w:rPr>
        <w:t>infrequently</w:t>
      </w:r>
      <w:r w:rsidR="00EF4C9F">
        <w:rPr>
          <w:rFonts w:ascii="Times New Roman" w:hAnsi="Times New Roman" w:cs="Times New Roman"/>
          <w:sz w:val="20"/>
          <w:szCs w:val="20"/>
        </w:rPr>
        <w:t xml:space="preserve"> (c. 200 observations)</w:t>
      </w:r>
      <w:r w:rsidRPr="00E94ED4">
        <w:rPr>
          <w:rFonts w:ascii="Times New Roman" w:hAnsi="Times New Roman" w:cs="Times New Roman"/>
          <w:sz w:val="20"/>
          <w:szCs w:val="20"/>
        </w:rPr>
        <w:t xml:space="preserve"> and thus are recoded as missing data for the purposes of statistical modelling.</w:t>
      </w:r>
    </w:p>
    <w:p w14:paraId="2EDC23B7" w14:textId="456A2AB7" w:rsidR="004C231A" w:rsidRDefault="004737EF" w:rsidP="0059716A">
      <w:pPr>
        <w:spacing w:line="480" w:lineRule="auto"/>
        <w:rPr>
          <w:rFonts w:ascii="Times New Roman" w:hAnsi="Times New Roman" w:cs="Times New Roman"/>
          <w:i/>
          <w:sz w:val="24"/>
          <w:szCs w:val="24"/>
        </w:rPr>
      </w:pPr>
      <w:r w:rsidRPr="004737EF">
        <w:rPr>
          <w:rFonts w:ascii="Times New Roman" w:hAnsi="Times New Roman" w:cs="Times New Roman"/>
          <w:i/>
          <w:sz w:val="24"/>
          <w:szCs w:val="24"/>
        </w:rPr>
        <w:t>Independent variables</w:t>
      </w:r>
    </w:p>
    <w:p w14:paraId="14F59416" w14:textId="539C4867" w:rsidR="004C231A" w:rsidRPr="00DC6CFA" w:rsidRDefault="00DE4362" w:rsidP="0059716A">
      <w:pPr>
        <w:spacing w:line="480" w:lineRule="auto"/>
        <w:rPr>
          <w:rFonts w:ascii="Times New Roman" w:hAnsi="Times New Roman" w:cs="Times New Roman"/>
          <w:sz w:val="24"/>
          <w:szCs w:val="24"/>
        </w:rPr>
      </w:pPr>
      <w:r>
        <w:rPr>
          <w:rFonts w:ascii="Times New Roman" w:hAnsi="Times New Roman" w:cs="Times New Roman"/>
          <w:sz w:val="24"/>
          <w:szCs w:val="24"/>
        </w:rPr>
        <w:t>The first set of independent variables are drawn from population ecology theory and measure an organisation’s capacity and niche operating environment.</w:t>
      </w:r>
      <w:r w:rsidR="002C34E3">
        <w:rPr>
          <w:rFonts w:ascii="Times New Roman" w:hAnsi="Times New Roman" w:cs="Times New Roman"/>
          <w:sz w:val="24"/>
          <w:szCs w:val="24"/>
        </w:rPr>
        <w:t xml:space="preserve"> </w:t>
      </w:r>
      <w:r w:rsidR="002C34E3">
        <w:rPr>
          <w:rFonts w:ascii="Times New Roman" w:hAnsi="Times New Roman" w:cs="Times New Roman"/>
          <w:i/>
          <w:sz w:val="24"/>
          <w:szCs w:val="24"/>
        </w:rPr>
        <w:t xml:space="preserve">Size </w:t>
      </w:r>
      <w:r w:rsidR="002C34E3">
        <w:rPr>
          <w:rFonts w:ascii="Times New Roman" w:hAnsi="Times New Roman" w:cs="Times New Roman"/>
          <w:sz w:val="24"/>
          <w:szCs w:val="24"/>
        </w:rPr>
        <w:t xml:space="preserve">is a log transformation of a charity’s mean annual gross income. </w:t>
      </w:r>
      <w:r w:rsidR="002C34E3" w:rsidRPr="000E0CD1">
        <w:rPr>
          <w:rFonts w:ascii="Times New Roman" w:hAnsi="Times New Roman" w:cs="Times New Roman"/>
          <w:i/>
          <w:sz w:val="24"/>
          <w:szCs w:val="24"/>
        </w:rPr>
        <w:t>Age</w:t>
      </w:r>
      <w:r w:rsidR="002C34E3">
        <w:rPr>
          <w:rFonts w:ascii="Times New Roman" w:hAnsi="Times New Roman" w:cs="Times New Roman"/>
          <w:sz w:val="24"/>
          <w:szCs w:val="24"/>
        </w:rPr>
        <w:t xml:space="preserve"> is</w:t>
      </w:r>
      <w:r w:rsidR="00AC7A86">
        <w:rPr>
          <w:rFonts w:ascii="Times New Roman" w:hAnsi="Times New Roman" w:cs="Times New Roman"/>
          <w:sz w:val="24"/>
          <w:szCs w:val="24"/>
        </w:rPr>
        <w:t xml:space="preserve"> binary measure of</w:t>
      </w:r>
      <w:r w:rsidR="002C34E3">
        <w:rPr>
          <w:rFonts w:ascii="Times New Roman" w:hAnsi="Times New Roman" w:cs="Times New Roman"/>
          <w:sz w:val="24"/>
          <w:szCs w:val="24"/>
        </w:rPr>
        <w:t xml:space="preserve"> the number of years a charity has been registered with the regulator (we are unable to tell when an organisation was founded)</w:t>
      </w:r>
      <w:r w:rsidR="00AC7A86">
        <w:rPr>
          <w:rFonts w:ascii="Times New Roman" w:hAnsi="Times New Roman" w:cs="Times New Roman"/>
          <w:sz w:val="24"/>
          <w:szCs w:val="24"/>
        </w:rPr>
        <w:t>: 1 =</w:t>
      </w:r>
      <w:r w:rsidR="0094074E">
        <w:rPr>
          <w:rFonts w:ascii="Times New Roman" w:hAnsi="Times New Roman" w:cs="Times New Roman"/>
          <w:sz w:val="24"/>
          <w:szCs w:val="24"/>
        </w:rPr>
        <w:t xml:space="preserve"> charities registered post-2010</w:t>
      </w:r>
      <w:r w:rsidR="00AC7A86">
        <w:rPr>
          <w:rFonts w:ascii="Times New Roman" w:hAnsi="Times New Roman" w:cs="Times New Roman"/>
          <w:sz w:val="24"/>
          <w:szCs w:val="24"/>
        </w:rPr>
        <w:t xml:space="preserve">, 0 = </w:t>
      </w:r>
      <w:r w:rsidR="0094074E">
        <w:rPr>
          <w:rFonts w:ascii="Times New Roman" w:hAnsi="Times New Roman" w:cs="Times New Roman"/>
          <w:sz w:val="24"/>
          <w:szCs w:val="24"/>
        </w:rPr>
        <w:t>charities registered pre-2010</w:t>
      </w:r>
      <w:r w:rsidR="002C34E3">
        <w:rPr>
          <w:rFonts w:ascii="Times New Roman" w:hAnsi="Times New Roman" w:cs="Times New Roman"/>
          <w:sz w:val="24"/>
          <w:szCs w:val="24"/>
        </w:rPr>
        <w:t xml:space="preserve">. </w:t>
      </w:r>
      <w:r w:rsidR="002C34E3">
        <w:rPr>
          <w:rFonts w:ascii="Times New Roman" w:hAnsi="Times New Roman" w:cs="Times New Roman"/>
          <w:i/>
          <w:sz w:val="24"/>
          <w:szCs w:val="24"/>
        </w:rPr>
        <w:t xml:space="preserve">Type </w:t>
      </w:r>
      <w:r w:rsidR="002C34E3">
        <w:rPr>
          <w:rFonts w:ascii="Times New Roman" w:hAnsi="Times New Roman" w:cs="Times New Roman"/>
          <w:sz w:val="24"/>
          <w:szCs w:val="24"/>
        </w:rPr>
        <w:t xml:space="preserve">is a categorical measure of a charity’s </w:t>
      </w:r>
      <w:r w:rsidR="00232B58">
        <w:rPr>
          <w:rFonts w:ascii="Times New Roman" w:hAnsi="Times New Roman" w:cs="Times New Roman"/>
          <w:sz w:val="24"/>
          <w:szCs w:val="24"/>
        </w:rPr>
        <w:t>legal</w:t>
      </w:r>
      <w:r w:rsidR="002C34E3">
        <w:rPr>
          <w:rFonts w:ascii="Times New Roman" w:hAnsi="Times New Roman" w:cs="Times New Roman"/>
          <w:sz w:val="24"/>
          <w:szCs w:val="24"/>
        </w:rPr>
        <w:t xml:space="preserve"> form: “standard”, “society or institution”, and </w:t>
      </w:r>
      <w:r w:rsidR="002C34E3">
        <w:rPr>
          <w:rFonts w:ascii="Times New Roman" w:hAnsi="Times New Roman" w:cs="Times New Roman"/>
          <w:sz w:val="24"/>
          <w:szCs w:val="24"/>
        </w:rPr>
        <w:lastRenderedPageBreak/>
        <w:t>“trustees of a trust” are the three valid values for this variable.</w:t>
      </w:r>
      <w:r w:rsidR="00232B58">
        <w:rPr>
          <w:rStyle w:val="FootnoteReference"/>
          <w:rFonts w:ascii="Times New Roman" w:hAnsi="Times New Roman" w:cs="Times New Roman"/>
          <w:sz w:val="24"/>
          <w:szCs w:val="24"/>
        </w:rPr>
        <w:footnoteReference w:id="3"/>
      </w:r>
      <w:r w:rsidR="00A85E55">
        <w:rPr>
          <w:rFonts w:ascii="Times New Roman" w:hAnsi="Times New Roman" w:cs="Times New Roman"/>
          <w:sz w:val="24"/>
          <w:szCs w:val="24"/>
        </w:rPr>
        <w:t xml:space="preserve"> </w:t>
      </w:r>
      <w:r w:rsidR="00DC6CFA">
        <w:rPr>
          <w:rFonts w:ascii="Times New Roman" w:hAnsi="Times New Roman" w:cs="Times New Roman"/>
          <w:i/>
          <w:sz w:val="24"/>
          <w:szCs w:val="24"/>
        </w:rPr>
        <w:t xml:space="preserve">Education </w:t>
      </w:r>
      <w:r w:rsidR="00DC6CFA">
        <w:rPr>
          <w:rFonts w:ascii="Times New Roman" w:hAnsi="Times New Roman" w:cs="Times New Roman"/>
          <w:sz w:val="24"/>
          <w:szCs w:val="24"/>
        </w:rPr>
        <w:t xml:space="preserve">is a dummy variable capturing an organisation’s field of activity: 1 = charities operating in the education sector, 0 = charities operating in one of eighteen other sectors. </w:t>
      </w:r>
      <w:r w:rsidR="00DC6CFA">
        <w:rPr>
          <w:rFonts w:ascii="Times New Roman" w:hAnsi="Times New Roman" w:cs="Times New Roman"/>
          <w:i/>
          <w:sz w:val="24"/>
          <w:szCs w:val="24"/>
        </w:rPr>
        <w:t xml:space="preserve">CYP </w:t>
      </w:r>
      <w:r w:rsidR="00DC6CFA">
        <w:rPr>
          <w:rFonts w:ascii="Times New Roman" w:hAnsi="Times New Roman" w:cs="Times New Roman"/>
          <w:sz w:val="24"/>
          <w:szCs w:val="24"/>
        </w:rPr>
        <w:t>is a binary indicator of whether a charity’s primary beneficiary group is children and young people.</w:t>
      </w:r>
    </w:p>
    <w:p w14:paraId="3611DB90" w14:textId="1BD70835" w:rsidR="0094074E" w:rsidRDefault="0094074E" w:rsidP="0059716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second set of variables correspond to our resource dependence hypotheses. </w:t>
      </w:r>
      <w:r>
        <w:rPr>
          <w:rFonts w:ascii="Times New Roman" w:hAnsi="Times New Roman" w:cs="Times New Roman"/>
          <w:i/>
          <w:sz w:val="24"/>
          <w:szCs w:val="24"/>
        </w:rPr>
        <w:t xml:space="preserve">Donations </w:t>
      </w:r>
      <w:r>
        <w:rPr>
          <w:rFonts w:ascii="Times New Roman" w:hAnsi="Times New Roman" w:cs="Times New Roman"/>
          <w:sz w:val="24"/>
          <w:szCs w:val="24"/>
        </w:rPr>
        <w:t xml:space="preserve">is a binary indicator of whether a majority share of a charity’s annual gross income is derived from donations (on average). </w:t>
      </w:r>
      <w:r>
        <w:rPr>
          <w:rFonts w:ascii="Times New Roman" w:hAnsi="Times New Roman" w:cs="Times New Roman"/>
          <w:i/>
          <w:sz w:val="24"/>
          <w:szCs w:val="24"/>
        </w:rPr>
        <w:t xml:space="preserve">Government </w:t>
      </w:r>
      <w:r>
        <w:rPr>
          <w:rFonts w:ascii="Times New Roman" w:hAnsi="Times New Roman" w:cs="Times New Roman"/>
          <w:sz w:val="24"/>
          <w:szCs w:val="24"/>
        </w:rPr>
        <w:t>is also a bina</w:t>
      </w:r>
      <w:r w:rsidR="002010C8">
        <w:rPr>
          <w:rFonts w:ascii="Times New Roman" w:hAnsi="Times New Roman" w:cs="Times New Roman"/>
          <w:sz w:val="24"/>
          <w:szCs w:val="24"/>
        </w:rPr>
        <w:t>ry measure, identifying charitie</w:t>
      </w:r>
      <w:r>
        <w:rPr>
          <w:rFonts w:ascii="Times New Roman" w:hAnsi="Times New Roman" w:cs="Times New Roman"/>
          <w:sz w:val="24"/>
          <w:szCs w:val="24"/>
        </w:rPr>
        <w:t>s whose main source of funding is the state.</w:t>
      </w:r>
    </w:p>
    <w:p w14:paraId="7E414D6D" w14:textId="3608375F" w:rsidR="0094074E" w:rsidRPr="0094074E" w:rsidRDefault="0094074E" w:rsidP="0059716A">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we include a set of control variables that measure the mean number of </w:t>
      </w:r>
      <w:r w:rsidR="00AB3B6E">
        <w:rPr>
          <w:rFonts w:ascii="Times New Roman" w:hAnsi="Times New Roman" w:cs="Times New Roman"/>
          <w:sz w:val="24"/>
          <w:szCs w:val="24"/>
        </w:rPr>
        <w:t>employees a charity has, the mean number of volunteers engaging with the organisation</w:t>
      </w:r>
      <w:r w:rsidR="00DC6CFA">
        <w:rPr>
          <w:rFonts w:ascii="Times New Roman" w:hAnsi="Times New Roman" w:cs="Times New Roman"/>
          <w:sz w:val="24"/>
          <w:szCs w:val="24"/>
        </w:rPr>
        <w:t xml:space="preserve"> per week,</w:t>
      </w:r>
      <w:r w:rsidR="00AB3B6E">
        <w:rPr>
          <w:rFonts w:ascii="Times New Roman" w:hAnsi="Times New Roman" w:cs="Times New Roman"/>
          <w:sz w:val="24"/>
          <w:szCs w:val="24"/>
        </w:rPr>
        <w:t xml:space="preserve"> the total number of trustees (i.e. the sum of those currently and formerly serving)</w:t>
      </w:r>
      <w:r w:rsidR="00DC6CFA">
        <w:rPr>
          <w:rFonts w:ascii="Times New Roman" w:hAnsi="Times New Roman" w:cs="Times New Roman"/>
          <w:sz w:val="24"/>
          <w:szCs w:val="24"/>
        </w:rPr>
        <w:t>, and the geographic scope of operations (i.e. local, national, international)</w:t>
      </w:r>
      <w:r w:rsidR="00AB3B6E">
        <w:rPr>
          <w:rFonts w:ascii="Times New Roman" w:hAnsi="Times New Roman" w:cs="Times New Roman"/>
          <w:sz w:val="24"/>
          <w:szCs w:val="24"/>
        </w:rPr>
        <w:t>.</w:t>
      </w:r>
    </w:p>
    <w:p w14:paraId="5E665D9C" w14:textId="77777777" w:rsidR="004C231A" w:rsidRDefault="004C231A" w:rsidP="004C231A">
      <w:pPr>
        <w:spacing w:line="480" w:lineRule="auto"/>
        <w:jc w:val="both"/>
        <w:rPr>
          <w:rFonts w:ascii="Times New Roman" w:hAnsi="Times New Roman" w:cs="Times New Roman"/>
          <w:b/>
          <w:sz w:val="24"/>
          <w:szCs w:val="24"/>
        </w:rPr>
      </w:pPr>
      <w:r>
        <w:rPr>
          <w:rFonts w:ascii="Times New Roman" w:hAnsi="Times New Roman" w:cs="Times New Roman"/>
          <w:b/>
          <w:sz w:val="24"/>
          <w:szCs w:val="24"/>
        </w:rPr>
        <w:t>Empirical Model</w:t>
      </w:r>
    </w:p>
    <w:p w14:paraId="1E9D5715" w14:textId="5A2B33BE" w:rsidR="001B66AC" w:rsidRPr="001B66AC" w:rsidRDefault="004C231A" w:rsidP="0059716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are interested </w:t>
      </w:r>
      <w:r w:rsidR="005A3025">
        <w:rPr>
          <w:rFonts w:ascii="Times New Roman" w:hAnsi="Times New Roman" w:cs="Times New Roman"/>
          <w:sz w:val="24"/>
          <w:szCs w:val="24"/>
        </w:rPr>
        <w:t>not only in whether a charity experience</w:t>
      </w:r>
      <w:r w:rsidR="002010C8">
        <w:rPr>
          <w:rFonts w:ascii="Times New Roman" w:hAnsi="Times New Roman" w:cs="Times New Roman"/>
          <w:sz w:val="24"/>
          <w:szCs w:val="24"/>
        </w:rPr>
        <w:t>s</w:t>
      </w:r>
      <w:r>
        <w:rPr>
          <w:rFonts w:ascii="Times New Roman" w:hAnsi="Times New Roman" w:cs="Times New Roman"/>
          <w:sz w:val="24"/>
          <w:szCs w:val="24"/>
        </w:rPr>
        <w:t xml:space="preserve"> dissol</w:t>
      </w:r>
      <w:r w:rsidR="005A3025">
        <w:rPr>
          <w:rFonts w:ascii="Times New Roman" w:hAnsi="Times New Roman" w:cs="Times New Roman"/>
          <w:sz w:val="24"/>
          <w:szCs w:val="24"/>
        </w:rPr>
        <w:t>ution</w:t>
      </w:r>
      <w:r>
        <w:rPr>
          <w:rFonts w:ascii="Times New Roman" w:hAnsi="Times New Roman" w:cs="Times New Roman"/>
          <w:sz w:val="24"/>
          <w:szCs w:val="24"/>
        </w:rPr>
        <w:t xml:space="preserve">, but which type of dissolution occurred. </w:t>
      </w:r>
      <w:r w:rsidR="00950756" w:rsidRPr="00D97D49">
        <w:rPr>
          <w:rFonts w:ascii="Times New Roman" w:hAnsi="Times New Roman" w:cs="Times New Roman"/>
          <w:sz w:val="24"/>
          <w:szCs w:val="24"/>
        </w:rPr>
        <w:t>As our</w:t>
      </w:r>
      <w:r w:rsidR="00950756">
        <w:rPr>
          <w:rFonts w:ascii="Times New Roman" w:hAnsi="Times New Roman" w:cs="Times New Roman"/>
          <w:sz w:val="24"/>
          <w:szCs w:val="24"/>
        </w:rPr>
        <w:t xml:space="preserve"> first</w:t>
      </w:r>
      <w:r w:rsidR="00950756" w:rsidRPr="00D97D49">
        <w:rPr>
          <w:rFonts w:ascii="Times New Roman" w:hAnsi="Times New Roman" w:cs="Times New Roman"/>
          <w:sz w:val="24"/>
          <w:szCs w:val="24"/>
        </w:rPr>
        <w:t xml:space="preserve"> dependent variable</w:t>
      </w:r>
      <w:r w:rsidR="00950756">
        <w:rPr>
          <w:rFonts w:ascii="Times New Roman" w:hAnsi="Times New Roman" w:cs="Times New Roman"/>
          <w:sz w:val="24"/>
          <w:szCs w:val="24"/>
        </w:rPr>
        <w:t xml:space="preserve"> - whether a charity has dissolved or not -</w:t>
      </w:r>
      <w:r w:rsidR="00950756" w:rsidRPr="00D97D49">
        <w:rPr>
          <w:rFonts w:ascii="Times New Roman" w:hAnsi="Times New Roman" w:cs="Times New Roman"/>
          <w:sz w:val="24"/>
          <w:szCs w:val="24"/>
        </w:rPr>
        <w:t xml:space="preserve"> has two mutually exclusive and e</w:t>
      </w:r>
      <w:r w:rsidR="005A3025">
        <w:rPr>
          <w:rFonts w:ascii="Times New Roman" w:hAnsi="Times New Roman" w:cs="Times New Roman"/>
          <w:sz w:val="24"/>
          <w:szCs w:val="24"/>
        </w:rPr>
        <w:t>xhaustive outcomes,</w:t>
      </w:r>
      <w:r w:rsidR="00950756" w:rsidRPr="00D97D49">
        <w:rPr>
          <w:rFonts w:ascii="Times New Roman" w:hAnsi="Times New Roman" w:cs="Times New Roman"/>
          <w:sz w:val="24"/>
          <w:szCs w:val="24"/>
        </w:rPr>
        <w:t xml:space="preserve"> we specify a logistic regression model</w:t>
      </w:r>
      <w:r w:rsidR="00586709">
        <w:rPr>
          <w:rFonts w:ascii="Times New Roman" w:hAnsi="Times New Roman" w:cs="Times New Roman"/>
          <w:sz w:val="24"/>
          <w:szCs w:val="24"/>
        </w:rPr>
        <w:t xml:space="preserve"> with robust standard errors</w:t>
      </w:r>
      <w:r w:rsidR="00950756" w:rsidRPr="00D97D49">
        <w:rPr>
          <w:rFonts w:ascii="Times New Roman" w:hAnsi="Times New Roman" w:cs="Times New Roman"/>
          <w:sz w:val="24"/>
          <w:szCs w:val="24"/>
        </w:rPr>
        <w:t>.</w:t>
      </w:r>
      <w:r w:rsidR="00950756">
        <w:rPr>
          <w:rFonts w:ascii="Times New Roman" w:hAnsi="Times New Roman" w:cs="Times New Roman"/>
          <w:sz w:val="24"/>
          <w:szCs w:val="24"/>
        </w:rPr>
        <w:t xml:space="preserve"> Our second dependent variable – dissolution type – has multiple exclusive and exhaustive outcomes and thus we specify a multinomial logistic regression</w:t>
      </w:r>
      <w:r w:rsidR="00586709">
        <w:rPr>
          <w:rFonts w:ascii="Times New Roman" w:hAnsi="Times New Roman" w:cs="Times New Roman"/>
          <w:sz w:val="24"/>
          <w:szCs w:val="24"/>
        </w:rPr>
        <w:t xml:space="preserve"> with robust standard errors</w:t>
      </w:r>
      <w:r w:rsidR="00950756">
        <w:rPr>
          <w:rFonts w:ascii="Times New Roman" w:hAnsi="Times New Roman" w:cs="Times New Roman"/>
          <w:sz w:val="24"/>
          <w:szCs w:val="24"/>
        </w:rPr>
        <w:t>.</w:t>
      </w:r>
      <w:r w:rsidR="00DE4362">
        <w:rPr>
          <w:rFonts w:ascii="Times New Roman" w:hAnsi="Times New Roman" w:cs="Times New Roman"/>
          <w:sz w:val="24"/>
          <w:szCs w:val="24"/>
        </w:rPr>
        <w:t xml:space="preserve"> We model both dependent variables as the</w:t>
      </w:r>
      <w:r>
        <w:rPr>
          <w:rFonts w:ascii="Times New Roman" w:hAnsi="Times New Roman" w:cs="Times New Roman"/>
          <w:sz w:val="24"/>
          <w:szCs w:val="24"/>
        </w:rPr>
        <w:t xml:space="preserve"> probability of</w:t>
      </w:r>
      <w:r w:rsidR="00DE4362">
        <w:rPr>
          <w:rFonts w:ascii="Times New Roman" w:hAnsi="Times New Roman" w:cs="Times New Roman"/>
          <w:sz w:val="24"/>
          <w:szCs w:val="24"/>
        </w:rPr>
        <w:t xml:space="preserve"> a charity experiencing a given outcome</w:t>
      </w:r>
      <w:r>
        <w:rPr>
          <w:rFonts w:ascii="Times New Roman" w:hAnsi="Times New Roman" w:cs="Times New Roman"/>
          <w:sz w:val="24"/>
          <w:szCs w:val="24"/>
        </w:rPr>
        <w:t xml:space="preserve"> </w:t>
      </w:r>
      <w:r w:rsidRPr="00D97D49">
        <w:rPr>
          <w:rFonts w:ascii="Times New Roman" w:hAnsi="Times New Roman" w:cs="Times New Roman"/>
          <w:sz w:val="24"/>
          <w:szCs w:val="24"/>
        </w:rPr>
        <w:t>as a function of organisation</w:t>
      </w:r>
      <w:r w:rsidR="00DE4362">
        <w:rPr>
          <w:rFonts w:ascii="Times New Roman" w:hAnsi="Times New Roman" w:cs="Times New Roman"/>
          <w:sz w:val="24"/>
          <w:szCs w:val="24"/>
        </w:rPr>
        <w:t>al</w:t>
      </w:r>
      <w:r w:rsidRPr="00D97D49">
        <w:rPr>
          <w:rFonts w:ascii="Times New Roman" w:hAnsi="Times New Roman" w:cs="Times New Roman"/>
          <w:sz w:val="24"/>
          <w:szCs w:val="24"/>
        </w:rPr>
        <w:t xml:space="preserve"> size, age, </w:t>
      </w:r>
      <w:r w:rsidR="00DE4362">
        <w:rPr>
          <w:rFonts w:ascii="Times New Roman" w:hAnsi="Times New Roman" w:cs="Times New Roman"/>
          <w:sz w:val="24"/>
          <w:szCs w:val="24"/>
        </w:rPr>
        <w:t>and type</w:t>
      </w:r>
      <w:r w:rsidRPr="00D97D49">
        <w:rPr>
          <w:rFonts w:ascii="Times New Roman" w:hAnsi="Times New Roman" w:cs="Times New Roman"/>
          <w:sz w:val="24"/>
          <w:szCs w:val="24"/>
        </w:rPr>
        <w:t xml:space="preserve">, </w:t>
      </w:r>
      <w:r w:rsidR="002010C8">
        <w:rPr>
          <w:rFonts w:ascii="Times New Roman" w:hAnsi="Times New Roman" w:cs="Times New Roman"/>
          <w:sz w:val="24"/>
          <w:szCs w:val="24"/>
        </w:rPr>
        <w:t xml:space="preserve">field </w:t>
      </w:r>
      <w:r w:rsidR="002010C8">
        <w:rPr>
          <w:rFonts w:ascii="Times New Roman" w:hAnsi="Times New Roman" w:cs="Times New Roman"/>
          <w:sz w:val="24"/>
          <w:szCs w:val="24"/>
        </w:rPr>
        <w:lastRenderedPageBreak/>
        <w:t>of activity</w:t>
      </w:r>
      <w:r w:rsidR="00DE4362">
        <w:rPr>
          <w:rFonts w:ascii="Times New Roman" w:hAnsi="Times New Roman" w:cs="Times New Roman"/>
          <w:sz w:val="24"/>
          <w:szCs w:val="24"/>
        </w:rPr>
        <w:t xml:space="preserve">, main beneficiary group served, </w:t>
      </w:r>
      <w:r w:rsidR="00EE0A76">
        <w:rPr>
          <w:rFonts w:ascii="Times New Roman" w:hAnsi="Times New Roman" w:cs="Times New Roman"/>
          <w:sz w:val="24"/>
          <w:szCs w:val="24"/>
        </w:rPr>
        <w:t xml:space="preserve">geographic </w:t>
      </w:r>
      <w:r w:rsidR="00DE4362">
        <w:rPr>
          <w:rFonts w:ascii="Times New Roman" w:hAnsi="Times New Roman" w:cs="Times New Roman"/>
          <w:sz w:val="24"/>
          <w:szCs w:val="24"/>
        </w:rPr>
        <w:t>scale of operation</w:t>
      </w:r>
      <w:r w:rsidR="00EE0A76">
        <w:rPr>
          <w:rFonts w:ascii="Times New Roman" w:hAnsi="Times New Roman" w:cs="Times New Roman"/>
          <w:sz w:val="24"/>
          <w:szCs w:val="24"/>
        </w:rPr>
        <w:t>s</w:t>
      </w:r>
      <w:r w:rsidR="00DE4362">
        <w:rPr>
          <w:rFonts w:ascii="Times New Roman" w:hAnsi="Times New Roman" w:cs="Times New Roman"/>
          <w:sz w:val="24"/>
          <w:szCs w:val="24"/>
        </w:rPr>
        <w:t>, whether it derives a majority of its income from private donations, whether government is its main source of revenue, average number of employees and volunteers, and total number of trustees</w:t>
      </w:r>
      <w:r w:rsidRPr="00D97D49">
        <w:rPr>
          <w:rFonts w:ascii="Times New Roman" w:hAnsi="Times New Roman" w:cs="Times New Roman"/>
          <w:sz w:val="24"/>
          <w:szCs w:val="24"/>
        </w:rPr>
        <w:t>.</w:t>
      </w:r>
      <w:r>
        <w:rPr>
          <w:rFonts w:ascii="Times New Roman" w:hAnsi="Times New Roman" w:cs="Times New Roman"/>
          <w:sz w:val="24"/>
          <w:szCs w:val="24"/>
        </w:rPr>
        <w:t xml:space="preserve"> </w:t>
      </w:r>
    </w:p>
    <w:p w14:paraId="7DFE7082" w14:textId="440115AB" w:rsidR="00AC328C" w:rsidRPr="0059716A" w:rsidRDefault="006C3245"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Results</w:t>
      </w:r>
    </w:p>
    <w:p w14:paraId="521BD5C7" w14:textId="33462709" w:rsidR="009265D3" w:rsidRDefault="009265D3" w:rsidP="0059716A">
      <w:pPr>
        <w:spacing w:line="480" w:lineRule="auto"/>
        <w:rPr>
          <w:rFonts w:ascii="Times New Roman" w:hAnsi="Times New Roman" w:cs="Times New Roman"/>
          <w:b/>
          <w:sz w:val="24"/>
          <w:szCs w:val="24"/>
        </w:rPr>
      </w:pPr>
      <w:r w:rsidRPr="009265D3">
        <w:rPr>
          <w:rFonts w:ascii="Times New Roman" w:hAnsi="Times New Roman" w:cs="Times New Roman"/>
          <w:b/>
          <w:sz w:val="24"/>
          <w:szCs w:val="24"/>
        </w:rPr>
        <w:t>Descriptive Statistics</w:t>
      </w:r>
    </w:p>
    <w:p w14:paraId="25544C21" w14:textId="0A335166" w:rsidR="00D270FA" w:rsidRDefault="00804090" w:rsidP="0059716A">
      <w:pPr>
        <w:spacing w:line="480" w:lineRule="auto"/>
        <w:rPr>
          <w:rFonts w:ascii="Times New Roman" w:hAnsi="Times New Roman" w:cs="Times New Roman"/>
          <w:sz w:val="24"/>
          <w:szCs w:val="24"/>
        </w:rPr>
      </w:pPr>
      <w:r>
        <w:rPr>
          <w:rFonts w:ascii="Times New Roman" w:hAnsi="Times New Roman" w:cs="Times New Roman"/>
          <w:sz w:val="24"/>
          <w:szCs w:val="24"/>
        </w:rPr>
        <w:t xml:space="preserve">Sample statistics are presented in table 2. </w:t>
      </w:r>
    </w:p>
    <w:p w14:paraId="08548CE9" w14:textId="013C1147" w:rsidR="00586709" w:rsidRDefault="00586709" w:rsidP="0059716A">
      <w:pPr>
        <w:spacing w:line="480" w:lineRule="auto"/>
        <w:rPr>
          <w:rFonts w:ascii="Times New Roman" w:hAnsi="Times New Roman" w:cs="Times New Roman"/>
          <w:sz w:val="24"/>
          <w:szCs w:val="24"/>
        </w:rPr>
      </w:pPr>
      <w:r w:rsidRPr="00586709">
        <w:rPr>
          <w:rFonts w:ascii="Times New Roman" w:hAnsi="Times New Roman" w:cs="Times New Roman"/>
          <w:b/>
          <w:sz w:val="24"/>
          <w:szCs w:val="24"/>
        </w:rPr>
        <w:t>Table 2.</w:t>
      </w:r>
      <w:r>
        <w:rPr>
          <w:rFonts w:ascii="Times New Roman" w:hAnsi="Times New Roman" w:cs="Times New Roman"/>
          <w:sz w:val="24"/>
          <w:szCs w:val="24"/>
        </w:rPr>
        <w:t xml:space="preserve"> Summary statistics for sample included in statistical models</w:t>
      </w:r>
    </w:p>
    <w:tbl>
      <w:tblPr>
        <w:tblW w:w="5096" w:type="pct"/>
        <w:tblCellMar>
          <w:left w:w="75" w:type="dxa"/>
          <w:right w:w="75" w:type="dxa"/>
        </w:tblCellMar>
        <w:tblLook w:val="0000" w:firstRow="0" w:lastRow="0" w:firstColumn="0" w:lastColumn="0" w:noHBand="0" w:noVBand="0"/>
      </w:tblPr>
      <w:tblGrid>
        <w:gridCol w:w="1703"/>
        <w:gridCol w:w="1452"/>
        <w:gridCol w:w="651"/>
        <w:gridCol w:w="653"/>
        <w:gridCol w:w="156"/>
        <w:gridCol w:w="576"/>
        <w:gridCol w:w="670"/>
        <w:gridCol w:w="156"/>
        <w:gridCol w:w="887"/>
        <w:gridCol w:w="662"/>
        <w:gridCol w:w="156"/>
        <w:gridCol w:w="541"/>
        <w:gridCol w:w="936"/>
      </w:tblGrid>
      <w:tr w:rsidR="007659B3" w:rsidRPr="00B70A2C" w14:paraId="266547DB" w14:textId="77777777" w:rsidTr="00B70A2C">
        <w:trPr>
          <w:trHeight w:val="227"/>
        </w:trPr>
        <w:tc>
          <w:tcPr>
            <w:tcW w:w="925" w:type="pct"/>
            <w:tcBorders>
              <w:top w:val="single" w:sz="4" w:space="0" w:color="auto"/>
              <w:left w:val="nil"/>
              <w:right w:val="nil"/>
            </w:tcBorders>
          </w:tcPr>
          <w:p w14:paraId="54844551" w14:textId="77777777" w:rsidR="00504F50" w:rsidRPr="00B70A2C" w:rsidRDefault="00504F50" w:rsidP="00E47245">
            <w:pPr>
              <w:widowControl w:val="0"/>
              <w:autoSpaceDE w:val="0"/>
              <w:autoSpaceDN w:val="0"/>
              <w:adjustRightInd w:val="0"/>
              <w:spacing w:line="240" w:lineRule="auto"/>
              <w:rPr>
                <w:rFonts w:ascii="Times New Roman" w:hAnsi="Times New Roman" w:cs="Times New Roman"/>
                <w:b/>
              </w:rPr>
            </w:pPr>
          </w:p>
        </w:tc>
        <w:tc>
          <w:tcPr>
            <w:tcW w:w="789" w:type="pct"/>
            <w:tcBorders>
              <w:top w:val="single" w:sz="4" w:space="0" w:color="auto"/>
              <w:left w:val="nil"/>
              <w:right w:val="nil"/>
            </w:tcBorders>
          </w:tcPr>
          <w:p w14:paraId="716404AC" w14:textId="77777777" w:rsidR="00504F50" w:rsidRPr="00B70A2C" w:rsidRDefault="00504F50" w:rsidP="00E47245">
            <w:pPr>
              <w:widowControl w:val="0"/>
              <w:autoSpaceDE w:val="0"/>
              <w:autoSpaceDN w:val="0"/>
              <w:adjustRightInd w:val="0"/>
              <w:spacing w:line="240" w:lineRule="auto"/>
              <w:jc w:val="center"/>
              <w:rPr>
                <w:rFonts w:ascii="Times New Roman" w:hAnsi="Times New Roman" w:cs="Times New Roman"/>
              </w:rPr>
            </w:pPr>
          </w:p>
        </w:tc>
        <w:tc>
          <w:tcPr>
            <w:tcW w:w="709" w:type="pct"/>
            <w:gridSpan w:val="2"/>
            <w:tcBorders>
              <w:top w:val="single" w:sz="4" w:space="0" w:color="auto"/>
              <w:left w:val="nil"/>
              <w:right w:val="nil"/>
            </w:tcBorders>
          </w:tcPr>
          <w:p w14:paraId="43361591" w14:textId="721317A1"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Registered</w:t>
            </w:r>
          </w:p>
        </w:tc>
        <w:tc>
          <w:tcPr>
            <w:tcW w:w="85" w:type="pct"/>
            <w:tcBorders>
              <w:top w:val="single" w:sz="4" w:space="0" w:color="auto"/>
              <w:left w:val="nil"/>
              <w:right w:val="nil"/>
            </w:tcBorders>
          </w:tcPr>
          <w:p w14:paraId="7EA830EF"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677" w:type="pct"/>
            <w:gridSpan w:val="2"/>
            <w:tcBorders>
              <w:top w:val="single" w:sz="4" w:space="0" w:color="auto"/>
              <w:left w:val="nil"/>
              <w:bottom w:val="single" w:sz="6" w:space="0" w:color="auto"/>
              <w:right w:val="nil"/>
            </w:tcBorders>
          </w:tcPr>
          <w:p w14:paraId="251428EE" w14:textId="01F066E6"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Failed to file</w:t>
            </w:r>
          </w:p>
        </w:tc>
        <w:tc>
          <w:tcPr>
            <w:tcW w:w="85" w:type="pct"/>
            <w:tcBorders>
              <w:top w:val="single" w:sz="4" w:space="0" w:color="auto"/>
              <w:left w:val="nil"/>
              <w:right w:val="nil"/>
            </w:tcBorders>
          </w:tcPr>
          <w:p w14:paraId="1173026A"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842" w:type="pct"/>
            <w:gridSpan w:val="2"/>
            <w:tcBorders>
              <w:top w:val="single" w:sz="4" w:space="0" w:color="auto"/>
              <w:left w:val="nil"/>
              <w:bottom w:val="single" w:sz="6" w:space="0" w:color="auto"/>
              <w:right w:val="nil"/>
            </w:tcBorders>
          </w:tcPr>
          <w:p w14:paraId="043048B8"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Voluntary removal</w:t>
            </w:r>
          </w:p>
        </w:tc>
        <w:tc>
          <w:tcPr>
            <w:tcW w:w="85" w:type="pct"/>
            <w:tcBorders>
              <w:top w:val="single" w:sz="4" w:space="0" w:color="auto"/>
              <w:left w:val="nil"/>
              <w:right w:val="nil"/>
            </w:tcBorders>
          </w:tcPr>
          <w:p w14:paraId="4B6274C3"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804" w:type="pct"/>
            <w:gridSpan w:val="2"/>
            <w:tcBorders>
              <w:top w:val="single" w:sz="4" w:space="0" w:color="auto"/>
              <w:left w:val="nil"/>
              <w:bottom w:val="single" w:sz="6" w:space="0" w:color="auto"/>
              <w:right w:val="nil"/>
            </w:tcBorders>
          </w:tcPr>
          <w:p w14:paraId="1B264657"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Wound up</w:t>
            </w:r>
          </w:p>
        </w:tc>
      </w:tr>
      <w:tr w:rsidR="008D3281" w:rsidRPr="00B70A2C" w14:paraId="61302916" w14:textId="77777777" w:rsidTr="00B70A2C">
        <w:trPr>
          <w:trHeight w:val="227"/>
        </w:trPr>
        <w:tc>
          <w:tcPr>
            <w:tcW w:w="925" w:type="pct"/>
            <w:tcBorders>
              <w:left w:val="nil"/>
              <w:bottom w:val="single" w:sz="6" w:space="0" w:color="auto"/>
              <w:right w:val="nil"/>
            </w:tcBorders>
          </w:tcPr>
          <w:p w14:paraId="168264A4" w14:textId="3B5EAAF0" w:rsidR="00504F50" w:rsidRPr="00B70A2C" w:rsidRDefault="00504F50" w:rsidP="00E47245">
            <w:pPr>
              <w:widowControl w:val="0"/>
              <w:autoSpaceDE w:val="0"/>
              <w:autoSpaceDN w:val="0"/>
              <w:adjustRightInd w:val="0"/>
              <w:spacing w:line="240" w:lineRule="auto"/>
              <w:rPr>
                <w:rFonts w:ascii="Times New Roman" w:hAnsi="Times New Roman" w:cs="Times New Roman"/>
              </w:rPr>
            </w:pPr>
            <w:r w:rsidRPr="00B70A2C">
              <w:rPr>
                <w:rFonts w:ascii="Times New Roman" w:hAnsi="Times New Roman" w:cs="Times New Roman"/>
              </w:rPr>
              <w:t>Variable</w:t>
            </w:r>
          </w:p>
        </w:tc>
        <w:tc>
          <w:tcPr>
            <w:tcW w:w="789" w:type="pct"/>
            <w:tcBorders>
              <w:left w:val="nil"/>
              <w:bottom w:val="single" w:sz="6" w:space="0" w:color="auto"/>
              <w:right w:val="nil"/>
            </w:tcBorders>
          </w:tcPr>
          <w:p w14:paraId="235BB761" w14:textId="77777777" w:rsidR="00504F50" w:rsidRPr="00B70A2C" w:rsidRDefault="00504F50" w:rsidP="00E47245">
            <w:pPr>
              <w:widowControl w:val="0"/>
              <w:autoSpaceDE w:val="0"/>
              <w:autoSpaceDN w:val="0"/>
              <w:adjustRightInd w:val="0"/>
              <w:spacing w:line="240" w:lineRule="auto"/>
              <w:jc w:val="center"/>
              <w:rPr>
                <w:rFonts w:ascii="Times New Roman" w:hAnsi="Times New Roman" w:cs="Times New Roman"/>
              </w:rPr>
            </w:pPr>
          </w:p>
        </w:tc>
        <w:tc>
          <w:tcPr>
            <w:tcW w:w="354" w:type="pct"/>
            <w:tcBorders>
              <w:left w:val="nil"/>
              <w:bottom w:val="single" w:sz="6" w:space="0" w:color="auto"/>
              <w:right w:val="nil"/>
            </w:tcBorders>
          </w:tcPr>
          <w:p w14:paraId="4B535AB2" w14:textId="34D85898"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M</w:t>
            </w:r>
          </w:p>
        </w:tc>
        <w:tc>
          <w:tcPr>
            <w:tcW w:w="355" w:type="pct"/>
            <w:tcBorders>
              <w:left w:val="nil"/>
              <w:bottom w:val="single" w:sz="6" w:space="0" w:color="auto"/>
              <w:right w:val="nil"/>
            </w:tcBorders>
          </w:tcPr>
          <w:p w14:paraId="75CB2431" w14:textId="10DFCC2C"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SD</w:t>
            </w:r>
          </w:p>
        </w:tc>
        <w:tc>
          <w:tcPr>
            <w:tcW w:w="85" w:type="pct"/>
            <w:tcBorders>
              <w:left w:val="nil"/>
              <w:bottom w:val="single" w:sz="6" w:space="0" w:color="auto"/>
              <w:right w:val="nil"/>
            </w:tcBorders>
          </w:tcPr>
          <w:p w14:paraId="2947A70B"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313" w:type="pct"/>
            <w:tcBorders>
              <w:left w:val="nil"/>
              <w:bottom w:val="single" w:sz="6" w:space="0" w:color="auto"/>
              <w:right w:val="nil"/>
            </w:tcBorders>
          </w:tcPr>
          <w:p w14:paraId="1096C8E0" w14:textId="156A478D"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M</w:t>
            </w:r>
          </w:p>
        </w:tc>
        <w:tc>
          <w:tcPr>
            <w:tcW w:w="364" w:type="pct"/>
            <w:tcBorders>
              <w:left w:val="nil"/>
              <w:bottom w:val="single" w:sz="6" w:space="0" w:color="auto"/>
              <w:right w:val="nil"/>
            </w:tcBorders>
          </w:tcPr>
          <w:p w14:paraId="03A4FB8A" w14:textId="3D143CF1"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SD</w:t>
            </w:r>
          </w:p>
        </w:tc>
        <w:tc>
          <w:tcPr>
            <w:tcW w:w="85" w:type="pct"/>
            <w:tcBorders>
              <w:left w:val="nil"/>
              <w:bottom w:val="single" w:sz="6" w:space="0" w:color="auto"/>
              <w:right w:val="nil"/>
            </w:tcBorders>
          </w:tcPr>
          <w:p w14:paraId="6B529F84"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single" w:sz="4" w:space="0" w:color="auto"/>
              <w:left w:val="nil"/>
              <w:bottom w:val="single" w:sz="6" w:space="0" w:color="auto"/>
              <w:right w:val="nil"/>
            </w:tcBorders>
          </w:tcPr>
          <w:p w14:paraId="5BBE889B" w14:textId="5A09A23E"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M</w:t>
            </w:r>
          </w:p>
        </w:tc>
        <w:tc>
          <w:tcPr>
            <w:tcW w:w="360" w:type="pct"/>
            <w:tcBorders>
              <w:top w:val="single" w:sz="4" w:space="0" w:color="auto"/>
              <w:left w:val="nil"/>
              <w:bottom w:val="single" w:sz="6" w:space="0" w:color="auto"/>
              <w:right w:val="nil"/>
            </w:tcBorders>
          </w:tcPr>
          <w:p w14:paraId="378B93AD" w14:textId="600DC9E3"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SD</w:t>
            </w:r>
          </w:p>
        </w:tc>
        <w:tc>
          <w:tcPr>
            <w:tcW w:w="85" w:type="pct"/>
            <w:tcBorders>
              <w:left w:val="nil"/>
              <w:bottom w:val="single" w:sz="6" w:space="0" w:color="auto"/>
              <w:right w:val="nil"/>
            </w:tcBorders>
          </w:tcPr>
          <w:p w14:paraId="00AD26DF"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single" w:sz="4" w:space="0" w:color="auto"/>
              <w:left w:val="nil"/>
              <w:bottom w:val="single" w:sz="6" w:space="0" w:color="auto"/>
              <w:right w:val="nil"/>
            </w:tcBorders>
          </w:tcPr>
          <w:p w14:paraId="0DB8F662" w14:textId="7BBA85B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M</w:t>
            </w:r>
          </w:p>
        </w:tc>
        <w:tc>
          <w:tcPr>
            <w:tcW w:w="510" w:type="pct"/>
            <w:tcBorders>
              <w:top w:val="single" w:sz="4" w:space="0" w:color="auto"/>
              <w:left w:val="nil"/>
              <w:bottom w:val="single" w:sz="6" w:space="0" w:color="auto"/>
              <w:right w:val="nil"/>
            </w:tcBorders>
          </w:tcPr>
          <w:p w14:paraId="0BD0B804" w14:textId="5067DABD"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SD</w:t>
            </w:r>
          </w:p>
        </w:tc>
      </w:tr>
      <w:tr w:rsidR="008D3281" w:rsidRPr="00B70A2C" w14:paraId="751B2BF7" w14:textId="77777777" w:rsidTr="00B70A2C">
        <w:trPr>
          <w:trHeight w:val="227"/>
        </w:trPr>
        <w:tc>
          <w:tcPr>
            <w:tcW w:w="925" w:type="pct"/>
            <w:tcBorders>
              <w:top w:val="nil"/>
              <w:left w:val="nil"/>
              <w:bottom w:val="nil"/>
              <w:right w:val="nil"/>
            </w:tcBorders>
          </w:tcPr>
          <w:p w14:paraId="20307718" w14:textId="545C83C2" w:rsidR="00504F50" w:rsidRPr="00B70A2C" w:rsidRDefault="00504F50" w:rsidP="00E47245">
            <w:pPr>
              <w:widowControl w:val="0"/>
              <w:autoSpaceDE w:val="0"/>
              <w:autoSpaceDN w:val="0"/>
              <w:adjustRightInd w:val="0"/>
              <w:spacing w:after="0" w:line="240" w:lineRule="auto"/>
              <w:rPr>
                <w:rFonts w:ascii="Times New Roman" w:hAnsi="Times New Roman" w:cs="Times New Roman"/>
              </w:rPr>
            </w:pPr>
            <w:r w:rsidRPr="00B70A2C">
              <w:rPr>
                <w:rFonts w:ascii="Times New Roman" w:hAnsi="Times New Roman" w:cs="Times New Roman"/>
              </w:rPr>
              <w:t>Size</w:t>
            </w:r>
          </w:p>
        </w:tc>
        <w:tc>
          <w:tcPr>
            <w:tcW w:w="789" w:type="pct"/>
            <w:tcBorders>
              <w:top w:val="nil"/>
              <w:left w:val="nil"/>
              <w:bottom w:val="nil"/>
              <w:right w:val="nil"/>
            </w:tcBorders>
          </w:tcPr>
          <w:p w14:paraId="7E559F78" w14:textId="77777777" w:rsidR="00504F50" w:rsidRPr="00B70A2C" w:rsidRDefault="00504F50" w:rsidP="00E47245">
            <w:pPr>
              <w:widowControl w:val="0"/>
              <w:autoSpaceDE w:val="0"/>
              <w:autoSpaceDN w:val="0"/>
              <w:adjustRightInd w:val="0"/>
              <w:spacing w:line="240" w:lineRule="auto"/>
              <w:rPr>
                <w:rFonts w:ascii="Times New Roman" w:hAnsi="Times New Roman" w:cs="Times New Roman"/>
              </w:rPr>
            </w:pPr>
          </w:p>
        </w:tc>
        <w:tc>
          <w:tcPr>
            <w:tcW w:w="354" w:type="pct"/>
            <w:tcBorders>
              <w:top w:val="nil"/>
              <w:left w:val="nil"/>
              <w:bottom w:val="nil"/>
              <w:right w:val="nil"/>
            </w:tcBorders>
          </w:tcPr>
          <w:p w14:paraId="28C52FBD" w14:textId="3EA811E3" w:rsidR="00504F50" w:rsidRPr="00B70A2C" w:rsidRDefault="007659B3" w:rsidP="00B70A2C">
            <w:pPr>
              <w:jc w:val="right"/>
              <w:rPr>
                <w:rFonts w:ascii="Times New Roman" w:hAnsi="Times New Roman" w:cs="Times New Roman"/>
              </w:rPr>
            </w:pPr>
            <w:r w:rsidRPr="00B70A2C">
              <w:rPr>
                <w:rFonts w:ascii="Times New Roman" w:hAnsi="Times New Roman" w:cs="Times New Roman"/>
              </w:rPr>
              <w:t>10.68</w:t>
            </w:r>
          </w:p>
        </w:tc>
        <w:tc>
          <w:tcPr>
            <w:tcW w:w="355" w:type="pct"/>
            <w:tcBorders>
              <w:top w:val="nil"/>
              <w:left w:val="nil"/>
              <w:bottom w:val="nil"/>
              <w:right w:val="nil"/>
            </w:tcBorders>
          </w:tcPr>
          <w:p w14:paraId="48383840" w14:textId="4DB538FF" w:rsidR="00504F50" w:rsidRPr="00B70A2C" w:rsidRDefault="007659B3" w:rsidP="00B70A2C">
            <w:pPr>
              <w:jc w:val="right"/>
              <w:rPr>
                <w:rFonts w:ascii="Times New Roman" w:hAnsi="Times New Roman" w:cs="Times New Roman"/>
              </w:rPr>
            </w:pPr>
            <w:r w:rsidRPr="00B70A2C">
              <w:rPr>
                <w:rFonts w:ascii="Times New Roman" w:hAnsi="Times New Roman" w:cs="Times New Roman"/>
              </w:rPr>
              <w:t>2.49</w:t>
            </w:r>
          </w:p>
        </w:tc>
        <w:tc>
          <w:tcPr>
            <w:tcW w:w="85" w:type="pct"/>
            <w:tcBorders>
              <w:top w:val="nil"/>
              <w:left w:val="nil"/>
              <w:bottom w:val="nil"/>
              <w:right w:val="nil"/>
            </w:tcBorders>
          </w:tcPr>
          <w:p w14:paraId="7C79A0B3" w14:textId="77777777" w:rsidR="00504F50" w:rsidRPr="00B70A2C" w:rsidRDefault="00504F50" w:rsidP="00B70A2C">
            <w:pPr>
              <w:jc w:val="right"/>
              <w:rPr>
                <w:rFonts w:ascii="Times New Roman" w:hAnsi="Times New Roman" w:cs="Times New Roman"/>
              </w:rPr>
            </w:pPr>
          </w:p>
        </w:tc>
        <w:tc>
          <w:tcPr>
            <w:tcW w:w="313" w:type="pct"/>
            <w:tcBorders>
              <w:top w:val="nil"/>
              <w:left w:val="nil"/>
              <w:bottom w:val="nil"/>
              <w:right w:val="nil"/>
            </w:tcBorders>
          </w:tcPr>
          <w:p w14:paraId="35D3B0EF" w14:textId="33286A8A" w:rsidR="00504F50" w:rsidRPr="00B70A2C" w:rsidRDefault="007659B3" w:rsidP="00B70A2C">
            <w:pPr>
              <w:jc w:val="right"/>
              <w:rPr>
                <w:rFonts w:ascii="Times New Roman" w:hAnsi="Times New Roman" w:cs="Times New Roman"/>
              </w:rPr>
            </w:pPr>
            <w:r w:rsidRPr="00B70A2C">
              <w:rPr>
                <w:rFonts w:ascii="Times New Roman" w:hAnsi="Times New Roman" w:cs="Times New Roman"/>
              </w:rPr>
              <w:t>8.94</w:t>
            </w:r>
          </w:p>
        </w:tc>
        <w:tc>
          <w:tcPr>
            <w:tcW w:w="364" w:type="pct"/>
            <w:tcBorders>
              <w:top w:val="nil"/>
              <w:left w:val="nil"/>
              <w:bottom w:val="nil"/>
              <w:right w:val="nil"/>
            </w:tcBorders>
          </w:tcPr>
          <w:p w14:paraId="1537A1DC" w14:textId="7DA2362C" w:rsidR="00504F50" w:rsidRPr="00B70A2C" w:rsidRDefault="007659B3" w:rsidP="00B70A2C">
            <w:pPr>
              <w:jc w:val="right"/>
              <w:rPr>
                <w:rFonts w:ascii="Times New Roman" w:hAnsi="Times New Roman" w:cs="Times New Roman"/>
              </w:rPr>
            </w:pPr>
            <w:r w:rsidRPr="00B70A2C">
              <w:rPr>
                <w:rFonts w:ascii="Times New Roman" w:hAnsi="Times New Roman" w:cs="Times New Roman"/>
              </w:rPr>
              <w:t>3.57</w:t>
            </w:r>
          </w:p>
        </w:tc>
        <w:tc>
          <w:tcPr>
            <w:tcW w:w="85" w:type="pct"/>
            <w:tcBorders>
              <w:top w:val="nil"/>
              <w:left w:val="nil"/>
              <w:bottom w:val="nil"/>
              <w:right w:val="nil"/>
            </w:tcBorders>
          </w:tcPr>
          <w:p w14:paraId="12493104"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1CEA33DB" w14:textId="135A28E4" w:rsidR="00504F50" w:rsidRPr="00B70A2C" w:rsidRDefault="007659B3" w:rsidP="00B70A2C">
            <w:pPr>
              <w:jc w:val="right"/>
              <w:rPr>
                <w:rFonts w:ascii="Times New Roman" w:hAnsi="Times New Roman" w:cs="Times New Roman"/>
              </w:rPr>
            </w:pPr>
            <w:r w:rsidRPr="00B70A2C">
              <w:rPr>
                <w:rFonts w:ascii="Times New Roman" w:hAnsi="Times New Roman" w:cs="Times New Roman"/>
              </w:rPr>
              <w:t>8.20</w:t>
            </w:r>
          </w:p>
        </w:tc>
        <w:tc>
          <w:tcPr>
            <w:tcW w:w="360" w:type="pct"/>
            <w:tcBorders>
              <w:top w:val="nil"/>
              <w:left w:val="nil"/>
              <w:bottom w:val="nil"/>
              <w:right w:val="nil"/>
            </w:tcBorders>
          </w:tcPr>
          <w:p w14:paraId="5FD42462" w14:textId="36DC30A5" w:rsidR="00504F50" w:rsidRPr="00B70A2C" w:rsidRDefault="007659B3" w:rsidP="00B70A2C">
            <w:pPr>
              <w:jc w:val="right"/>
              <w:rPr>
                <w:rFonts w:ascii="Times New Roman" w:hAnsi="Times New Roman" w:cs="Times New Roman"/>
              </w:rPr>
            </w:pPr>
            <w:r w:rsidRPr="00B70A2C">
              <w:rPr>
                <w:rFonts w:ascii="Times New Roman" w:hAnsi="Times New Roman" w:cs="Times New Roman"/>
              </w:rPr>
              <w:t>4.27</w:t>
            </w:r>
          </w:p>
        </w:tc>
        <w:tc>
          <w:tcPr>
            <w:tcW w:w="85" w:type="pct"/>
            <w:tcBorders>
              <w:top w:val="nil"/>
              <w:left w:val="nil"/>
              <w:bottom w:val="nil"/>
              <w:right w:val="nil"/>
            </w:tcBorders>
          </w:tcPr>
          <w:p w14:paraId="6884BCE9"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47501368" w14:textId="23410779" w:rsidR="00504F50" w:rsidRPr="00B70A2C" w:rsidRDefault="007659B3" w:rsidP="00B70A2C">
            <w:pPr>
              <w:jc w:val="right"/>
              <w:rPr>
                <w:rFonts w:ascii="Times New Roman" w:hAnsi="Times New Roman" w:cs="Times New Roman"/>
              </w:rPr>
            </w:pPr>
            <w:r w:rsidRPr="00B70A2C">
              <w:rPr>
                <w:rFonts w:ascii="Times New Roman" w:hAnsi="Times New Roman" w:cs="Times New Roman"/>
              </w:rPr>
              <w:t>9.24</w:t>
            </w:r>
          </w:p>
        </w:tc>
        <w:tc>
          <w:tcPr>
            <w:tcW w:w="510" w:type="pct"/>
            <w:tcBorders>
              <w:top w:val="nil"/>
              <w:left w:val="nil"/>
              <w:bottom w:val="nil"/>
              <w:right w:val="nil"/>
            </w:tcBorders>
          </w:tcPr>
          <w:p w14:paraId="660551AC" w14:textId="5F3E2FEF" w:rsidR="00504F50" w:rsidRPr="00B70A2C" w:rsidRDefault="007659B3" w:rsidP="00B70A2C">
            <w:pPr>
              <w:jc w:val="right"/>
              <w:rPr>
                <w:rFonts w:ascii="Times New Roman" w:hAnsi="Times New Roman" w:cs="Times New Roman"/>
              </w:rPr>
            </w:pPr>
            <w:r w:rsidRPr="00B70A2C">
              <w:rPr>
                <w:rFonts w:ascii="Times New Roman" w:hAnsi="Times New Roman" w:cs="Times New Roman"/>
              </w:rPr>
              <w:t>3.12</w:t>
            </w:r>
          </w:p>
        </w:tc>
      </w:tr>
      <w:tr w:rsidR="008D3281" w:rsidRPr="00B70A2C" w14:paraId="31DAE1CD" w14:textId="77777777" w:rsidTr="00B70A2C">
        <w:trPr>
          <w:trHeight w:val="227"/>
        </w:trPr>
        <w:tc>
          <w:tcPr>
            <w:tcW w:w="925" w:type="pct"/>
            <w:tcBorders>
              <w:top w:val="nil"/>
              <w:left w:val="nil"/>
              <w:bottom w:val="nil"/>
              <w:right w:val="nil"/>
            </w:tcBorders>
          </w:tcPr>
          <w:p w14:paraId="2E72A5EE" w14:textId="3264BBBB" w:rsidR="00504F50" w:rsidRPr="00B70A2C" w:rsidRDefault="00504F50" w:rsidP="00E47245">
            <w:pPr>
              <w:widowControl w:val="0"/>
              <w:autoSpaceDE w:val="0"/>
              <w:autoSpaceDN w:val="0"/>
              <w:adjustRightInd w:val="0"/>
              <w:spacing w:after="0" w:line="240" w:lineRule="auto"/>
              <w:rPr>
                <w:rFonts w:ascii="Times New Roman" w:hAnsi="Times New Roman" w:cs="Times New Roman"/>
              </w:rPr>
            </w:pPr>
            <w:r w:rsidRPr="00B70A2C">
              <w:rPr>
                <w:rFonts w:ascii="Times New Roman" w:hAnsi="Times New Roman" w:cs="Times New Roman"/>
              </w:rPr>
              <w:t>Age</w:t>
            </w:r>
            <w:r w:rsidR="00132306" w:rsidRPr="00B70A2C">
              <w:rPr>
                <w:rFonts w:ascii="Times New Roman" w:hAnsi="Times New Roman" w:cs="Times New Roman"/>
              </w:rPr>
              <w:t xml:space="preserve"> (%)</w:t>
            </w:r>
          </w:p>
        </w:tc>
        <w:tc>
          <w:tcPr>
            <w:tcW w:w="789" w:type="pct"/>
            <w:tcBorders>
              <w:top w:val="nil"/>
              <w:left w:val="nil"/>
              <w:bottom w:val="nil"/>
              <w:right w:val="nil"/>
            </w:tcBorders>
          </w:tcPr>
          <w:p w14:paraId="7F547765" w14:textId="77777777" w:rsidR="00504F50" w:rsidRPr="00B70A2C" w:rsidRDefault="00504F50" w:rsidP="00E47245">
            <w:pPr>
              <w:widowControl w:val="0"/>
              <w:autoSpaceDE w:val="0"/>
              <w:autoSpaceDN w:val="0"/>
              <w:adjustRightInd w:val="0"/>
              <w:spacing w:line="240" w:lineRule="auto"/>
              <w:rPr>
                <w:rFonts w:ascii="Times New Roman" w:hAnsi="Times New Roman" w:cs="Times New Roman"/>
              </w:rPr>
            </w:pPr>
          </w:p>
        </w:tc>
        <w:tc>
          <w:tcPr>
            <w:tcW w:w="354" w:type="pct"/>
            <w:tcBorders>
              <w:top w:val="nil"/>
              <w:left w:val="nil"/>
              <w:bottom w:val="nil"/>
              <w:right w:val="nil"/>
            </w:tcBorders>
          </w:tcPr>
          <w:p w14:paraId="38F77327" w14:textId="77777777" w:rsidR="00504F50" w:rsidRPr="00B70A2C" w:rsidRDefault="00504F50" w:rsidP="00B70A2C">
            <w:pPr>
              <w:jc w:val="right"/>
              <w:rPr>
                <w:rFonts w:ascii="Times New Roman" w:hAnsi="Times New Roman" w:cs="Times New Roman"/>
              </w:rPr>
            </w:pPr>
          </w:p>
        </w:tc>
        <w:tc>
          <w:tcPr>
            <w:tcW w:w="355" w:type="pct"/>
            <w:tcBorders>
              <w:top w:val="nil"/>
              <w:left w:val="nil"/>
              <w:bottom w:val="nil"/>
              <w:right w:val="nil"/>
            </w:tcBorders>
          </w:tcPr>
          <w:p w14:paraId="42378306" w14:textId="77777777" w:rsidR="00504F50" w:rsidRPr="00B70A2C" w:rsidRDefault="00504F50" w:rsidP="00B70A2C">
            <w:pPr>
              <w:jc w:val="right"/>
              <w:rPr>
                <w:rFonts w:ascii="Times New Roman" w:hAnsi="Times New Roman" w:cs="Times New Roman"/>
              </w:rPr>
            </w:pPr>
          </w:p>
        </w:tc>
        <w:tc>
          <w:tcPr>
            <w:tcW w:w="85" w:type="pct"/>
            <w:tcBorders>
              <w:top w:val="nil"/>
              <w:left w:val="nil"/>
              <w:bottom w:val="nil"/>
              <w:right w:val="nil"/>
            </w:tcBorders>
          </w:tcPr>
          <w:p w14:paraId="46812725" w14:textId="77777777" w:rsidR="00504F50" w:rsidRPr="00B70A2C" w:rsidRDefault="00504F50" w:rsidP="00B70A2C">
            <w:pPr>
              <w:jc w:val="right"/>
              <w:rPr>
                <w:rFonts w:ascii="Times New Roman" w:hAnsi="Times New Roman" w:cs="Times New Roman"/>
              </w:rPr>
            </w:pPr>
          </w:p>
        </w:tc>
        <w:tc>
          <w:tcPr>
            <w:tcW w:w="313" w:type="pct"/>
            <w:tcBorders>
              <w:top w:val="nil"/>
              <w:left w:val="nil"/>
              <w:bottom w:val="nil"/>
              <w:right w:val="nil"/>
            </w:tcBorders>
          </w:tcPr>
          <w:p w14:paraId="66755905" w14:textId="6116E5F7" w:rsidR="00504F50" w:rsidRPr="00B70A2C" w:rsidRDefault="00504F50" w:rsidP="00B70A2C">
            <w:pPr>
              <w:jc w:val="right"/>
              <w:rPr>
                <w:rFonts w:ascii="Times New Roman" w:hAnsi="Times New Roman" w:cs="Times New Roman"/>
              </w:rPr>
            </w:pPr>
          </w:p>
        </w:tc>
        <w:tc>
          <w:tcPr>
            <w:tcW w:w="364" w:type="pct"/>
            <w:tcBorders>
              <w:top w:val="nil"/>
              <w:left w:val="nil"/>
              <w:bottom w:val="nil"/>
              <w:right w:val="nil"/>
            </w:tcBorders>
          </w:tcPr>
          <w:p w14:paraId="3EE5146B" w14:textId="29FF8047" w:rsidR="00504F50" w:rsidRPr="00B70A2C" w:rsidRDefault="00504F50" w:rsidP="00B70A2C">
            <w:pPr>
              <w:jc w:val="right"/>
              <w:rPr>
                <w:rFonts w:ascii="Times New Roman" w:hAnsi="Times New Roman" w:cs="Times New Roman"/>
              </w:rPr>
            </w:pPr>
          </w:p>
        </w:tc>
        <w:tc>
          <w:tcPr>
            <w:tcW w:w="85" w:type="pct"/>
            <w:tcBorders>
              <w:top w:val="nil"/>
              <w:left w:val="nil"/>
              <w:bottom w:val="nil"/>
              <w:right w:val="nil"/>
            </w:tcBorders>
          </w:tcPr>
          <w:p w14:paraId="754D3385"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2DBE6FAD" w14:textId="636B649B" w:rsidR="00504F50" w:rsidRPr="00B70A2C" w:rsidRDefault="00504F50" w:rsidP="00B70A2C">
            <w:pPr>
              <w:jc w:val="right"/>
              <w:rPr>
                <w:rFonts w:ascii="Times New Roman" w:hAnsi="Times New Roman" w:cs="Times New Roman"/>
              </w:rPr>
            </w:pPr>
          </w:p>
        </w:tc>
        <w:tc>
          <w:tcPr>
            <w:tcW w:w="360" w:type="pct"/>
            <w:tcBorders>
              <w:top w:val="nil"/>
              <w:left w:val="nil"/>
              <w:bottom w:val="nil"/>
              <w:right w:val="nil"/>
            </w:tcBorders>
          </w:tcPr>
          <w:p w14:paraId="7DCF0B26" w14:textId="72FCB2FC" w:rsidR="00504F50" w:rsidRPr="00B70A2C" w:rsidRDefault="00504F50" w:rsidP="00B70A2C">
            <w:pPr>
              <w:jc w:val="right"/>
              <w:rPr>
                <w:rFonts w:ascii="Times New Roman" w:hAnsi="Times New Roman" w:cs="Times New Roman"/>
              </w:rPr>
            </w:pPr>
          </w:p>
        </w:tc>
        <w:tc>
          <w:tcPr>
            <w:tcW w:w="85" w:type="pct"/>
            <w:tcBorders>
              <w:top w:val="nil"/>
              <w:left w:val="nil"/>
              <w:bottom w:val="nil"/>
              <w:right w:val="nil"/>
            </w:tcBorders>
          </w:tcPr>
          <w:p w14:paraId="0AEB9FB4"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0C5A6947" w14:textId="1A45633C" w:rsidR="00504F50" w:rsidRPr="00B70A2C" w:rsidRDefault="00504F50" w:rsidP="00B70A2C">
            <w:pPr>
              <w:jc w:val="right"/>
              <w:rPr>
                <w:rFonts w:ascii="Times New Roman" w:hAnsi="Times New Roman" w:cs="Times New Roman"/>
              </w:rPr>
            </w:pPr>
          </w:p>
        </w:tc>
        <w:tc>
          <w:tcPr>
            <w:tcW w:w="510" w:type="pct"/>
            <w:tcBorders>
              <w:top w:val="nil"/>
              <w:left w:val="nil"/>
              <w:bottom w:val="nil"/>
              <w:right w:val="nil"/>
            </w:tcBorders>
          </w:tcPr>
          <w:p w14:paraId="038574B4" w14:textId="59E3FBF2" w:rsidR="00504F50" w:rsidRPr="00B70A2C" w:rsidRDefault="00504F50" w:rsidP="00B70A2C">
            <w:pPr>
              <w:jc w:val="right"/>
              <w:rPr>
                <w:rFonts w:ascii="Times New Roman" w:hAnsi="Times New Roman" w:cs="Times New Roman"/>
              </w:rPr>
            </w:pPr>
          </w:p>
        </w:tc>
      </w:tr>
      <w:tr w:rsidR="00B70A2C" w:rsidRPr="00B70A2C" w14:paraId="73DC4081" w14:textId="77777777" w:rsidTr="00B70A2C">
        <w:trPr>
          <w:trHeight w:val="227"/>
        </w:trPr>
        <w:tc>
          <w:tcPr>
            <w:tcW w:w="925" w:type="pct"/>
            <w:tcBorders>
              <w:top w:val="nil"/>
              <w:left w:val="nil"/>
              <w:bottom w:val="nil"/>
              <w:right w:val="nil"/>
            </w:tcBorders>
          </w:tcPr>
          <w:p w14:paraId="40244CF2" w14:textId="77777777" w:rsidR="00132306" w:rsidRPr="00B70A2C" w:rsidRDefault="00132306" w:rsidP="00E47245">
            <w:pPr>
              <w:widowControl w:val="0"/>
              <w:autoSpaceDE w:val="0"/>
              <w:autoSpaceDN w:val="0"/>
              <w:adjustRightInd w:val="0"/>
              <w:spacing w:after="0" w:line="240" w:lineRule="auto"/>
              <w:rPr>
                <w:rFonts w:ascii="Times New Roman" w:hAnsi="Times New Roman" w:cs="Times New Roman"/>
              </w:rPr>
            </w:pPr>
          </w:p>
        </w:tc>
        <w:tc>
          <w:tcPr>
            <w:tcW w:w="789" w:type="pct"/>
            <w:tcBorders>
              <w:top w:val="nil"/>
              <w:left w:val="nil"/>
              <w:bottom w:val="nil"/>
              <w:right w:val="nil"/>
            </w:tcBorders>
          </w:tcPr>
          <w:p w14:paraId="4BA8C66A" w14:textId="10D41F14" w:rsidR="00132306" w:rsidRPr="00B70A2C" w:rsidRDefault="00132306" w:rsidP="00E47245">
            <w:pPr>
              <w:widowControl w:val="0"/>
              <w:autoSpaceDE w:val="0"/>
              <w:autoSpaceDN w:val="0"/>
              <w:adjustRightInd w:val="0"/>
              <w:spacing w:line="240" w:lineRule="auto"/>
              <w:rPr>
                <w:rFonts w:ascii="Times New Roman" w:hAnsi="Times New Roman" w:cs="Times New Roman"/>
              </w:rPr>
            </w:pPr>
            <w:r w:rsidRPr="00B70A2C">
              <w:rPr>
                <w:rFonts w:ascii="Times New Roman" w:hAnsi="Times New Roman" w:cs="Times New Roman"/>
              </w:rPr>
              <w:t>Registered early</w:t>
            </w:r>
          </w:p>
        </w:tc>
        <w:tc>
          <w:tcPr>
            <w:tcW w:w="354" w:type="pct"/>
            <w:tcBorders>
              <w:top w:val="nil"/>
              <w:left w:val="nil"/>
              <w:bottom w:val="nil"/>
              <w:right w:val="nil"/>
            </w:tcBorders>
          </w:tcPr>
          <w:p w14:paraId="24D0BCEE" w14:textId="792CA14C" w:rsidR="00132306" w:rsidRPr="00B70A2C" w:rsidRDefault="008D3281" w:rsidP="00B70A2C">
            <w:pPr>
              <w:jc w:val="right"/>
              <w:rPr>
                <w:rFonts w:ascii="Times New Roman" w:hAnsi="Times New Roman" w:cs="Times New Roman"/>
              </w:rPr>
            </w:pPr>
            <w:r w:rsidRPr="00B70A2C">
              <w:rPr>
                <w:rFonts w:ascii="Times New Roman" w:hAnsi="Times New Roman" w:cs="Times New Roman"/>
              </w:rPr>
              <w:t>52</w:t>
            </w:r>
          </w:p>
        </w:tc>
        <w:tc>
          <w:tcPr>
            <w:tcW w:w="355" w:type="pct"/>
            <w:tcBorders>
              <w:top w:val="nil"/>
              <w:left w:val="nil"/>
              <w:bottom w:val="nil"/>
              <w:right w:val="nil"/>
            </w:tcBorders>
          </w:tcPr>
          <w:p w14:paraId="76ECC9EE" w14:textId="0D3C02BC" w:rsidR="00132306"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750B96A2" w14:textId="77777777" w:rsidR="00132306" w:rsidRPr="00B70A2C" w:rsidRDefault="00132306" w:rsidP="00B70A2C">
            <w:pPr>
              <w:jc w:val="right"/>
              <w:rPr>
                <w:rFonts w:ascii="Times New Roman" w:hAnsi="Times New Roman" w:cs="Times New Roman"/>
              </w:rPr>
            </w:pPr>
          </w:p>
        </w:tc>
        <w:tc>
          <w:tcPr>
            <w:tcW w:w="313" w:type="pct"/>
            <w:tcBorders>
              <w:top w:val="nil"/>
              <w:left w:val="nil"/>
              <w:bottom w:val="nil"/>
              <w:right w:val="nil"/>
            </w:tcBorders>
          </w:tcPr>
          <w:p w14:paraId="589EC9B3" w14:textId="20969CB4" w:rsidR="00132306" w:rsidRPr="00B70A2C" w:rsidRDefault="008D3281" w:rsidP="00B70A2C">
            <w:pPr>
              <w:jc w:val="right"/>
              <w:rPr>
                <w:rFonts w:ascii="Times New Roman" w:hAnsi="Times New Roman" w:cs="Times New Roman"/>
              </w:rPr>
            </w:pPr>
            <w:r w:rsidRPr="00B70A2C">
              <w:rPr>
                <w:rFonts w:ascii="Times New Roman" w:hAnsi="Times New Roman" w:cs="Times New Roman"/>
              </w:rPr>
              <w:t>12</w:t>
            </w:r>
          </w:p>
        </w:tc>
        <w:tc>
          <w:tcPr>
            <w:tcW w:w="364" w:type="pct"/>
            <w:tcBorders>
              <w:top w:val="nil"/>
              <w:left w:val="nil"/>
              <w:bottom w:val="nil"/>
              <w:right w:val="nil"/>
            </w:tcBorders>
          </w:tcPr>
          <w:p w14:paraId="5EACB3D0" w14:textId="2D7A18BA" w:rsidR="00132306"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227B1FF6" w14:textId="77777777" w:rsidR="00132306" w:rsidRPr="00B70A2C" w:rsidRDefault="00132306"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6885DB55" w14:textId="063253BE" w:rsidR="00132306" w:rsidRPr="00B70A2C" w:rsidRDefault="008D3281" w:rsidP="00B70A2C">
            <w:pPr>
              <w:jc w:val="right"/>
              <w:rPr>
                <w:rFonts w:ascii="Times New Roman" w:hAnsi="Times New Roman" w:cs="Times New Roman"/>
              </w:rPr>
            </w:pPr>
            <w:r w:rsidRPr="00B70A2C">
              <w:rPr>
                <w:rFonts w:ascii="Times New Roman" w:hAnsi="Times New Roman" w:cs="Times New Roman"/>
              </w:rPr>
              <w:t>0</w:t>
            </w:r>
          </w:p>
        </w:tc>
        <w:tc>
          <w:tcPr>
            <w:tcW w:w="360" w:type="pct"/>
            <w:tcBorders>
              <w:top w:val="nil"/>
              <w:left w:val="nil"/>
              <w:bottom w:val="nil"/>
              <w:right w:val="nil"/>
            </w:tcBorders>
          </w:tcPr>
          <w:p w14:paraId="723C4A35" w14:textId="622EEC70" w:rsidR="00132306"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0DF7B68A" w14:textId="77777777" w:rsidR="00132306" w:rsidRPr="00B70A2C" w:rsidRDefault="00132306"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7322732B" w14:textId="218F7A40" w:rsidR="00132306" w:rsidRPr="00B70A2C" w:rsidRDefault="008D3281" w:rsidP="00B70A2C">
            <w:pPr>
              <w:jc w:val="right"/>
              <w:rPr>
                <w:rFonts w:ascii="Times New Roman" w:hAnsi="Times New Roman" w:cs="Times New Roman"/>
              </w:rPr>
            </w:pPr>
            <w:r w:rsidRPr="00B70A2C">
              <w:rPr>
                <w:rFonts w:ascii="Times New Roman" w:hAnsi="Times New Roman" w:cs="Times New Roman"/>
              </w:rPr>
              <w:t>20</w:t>
            </w:r>
          </w:p>
        </w:tc>
        <w:tc>
          <w:tcPr>
            <w:tcW w:w="510" w:type="pct"/>
            <w:tcBorders>
              <w:top w:val="nil"/>
              <w:left w:val="nil"/>
              <w:bottom w:val="nil"/>
              <w:right w:val="nil"/>
            </w:tcBorders>
          </w:tcPr>
          <w:p w14:paraId="0BA92AD1" w14:textId="36521678" w:rsidR="00132306" w:rsidRPr="00B70A2C" w:rsidRDefault="008D3281" w:rsidP="00B70A2C">
            <w:pPr>
              <w:jc w:val="right"/>
              <w:rPr>
                <w:rFonts w:ascii="Times New Roman" w:hAnsi="Times New Roman" w:cs="Times New Roman"/>
              </w:rPr>
            </w:pPr>
            <w:r w:rsidRPr="00B70A2C">
              <w:rPr>
                <w:rFonts w:ascii="Times New Roman" w:hAnsi="Times New Roman" w:cs="Times New Roman"/>
              </w:rPr>
              <w:t>-</w:t>
            </w:r>
          </w:p>
        </w:tc>
      </w:tr>
      <w:tr w:rsidR="00B70A2C" w:rsidRPr="00B70A2C" w14:paraId="61CEE82C" w14:textId="77777777" w:rsidTr="00B70A2C">
        <w:trPr>
          <w:trHeight w:val="227"/>
        </w:trPr>
        <w:tc>
          <w:tcPr>
            <w:tcW w:w="925" w:type="pct"/>
            <w:tcBorders>
              <w:top w:val="nil"/>
              <w:left w:val="nil"/>
              <w:bottom w:val="nil"/>
              <w:right w:val="nil"/>
            </w:tcBorders>
          </w:tcPr>
          <w:p w14:paraId="0CED8692" w14:textId="77777777" w:rsidR="00132306" w:rsidRPr="00B70A2C" w:rsidRDefault="00132306" w:rsidP="00E47245">
            <w:pPr>
              <w:widowControl w:val="0"/>
              <w:autoSpaceDE w:val="0"/>
              <w:autoSpaceDN w:val="0"/>
              <w:adjustRightInd w:val="0"/>
              <w:spacing w:after="0" w:line="240" w:lineRule="auto"/>
              <w:rPr>
                <w:rFonts w:ascii="Times New Roman" w:hAnsi="Times New Roman" w:cs="Times New Roman"/>
              </w:rPr>
            </w:pPr>
          </w:p>
        </w:tc>
        <w:tc>
          <w:tcPr>
            <w:tcW w:w="789" w:type="pct"/>
            <w:tcBorders>
              <w:top w:val="nil"/>
              <w:left w:val="nil"/>
              <w:bottom w:val="nil"/>
              <w:right w:val="nil"/>
            </w:tcBorders>
          </w:tcPr>
          <w:p w14:paraId="0F504B23" w14:textId="7B08F99F" w:rsidR="00132306" w:rsidRPr="00B70A2C" w:rsidRDefault="00132306" w:rsidP="00E47245">
            <w:pPr>
              <w:widowControl w:val="0"/>
              <w:autoSpaceDE w:val="0"/>
              <w:autoSpaceDN w:val="0"/>
              <w:adjustRightInd w:val="0"/>
              <w:spacing w:line="240" w:lineRule="auto"/>
              <w:rPr>
                <w:rFonts w:ascii="Times New Roman" w:hAnsi="Times New Roman" w:cs="Times New Roman"/>
              </w:rPr>
            </w:pPr>
            <w:r w:rsidRPr="00B70A2C">
              <w:rPr>
                <w:rFonts w:ascii="Times New Roman" w:hAnsi="Times New Roman" w:cs="Times New Roman"/>
              </w:rPr>
              <w:t>Registered recently</w:t>
            </w:r>
          </w:p>
        </w:tc>
        <w:tc>
          <w:tcPr>
            <w:tcW w:w="354" w:type="pct"/>
            <w:tcBorders>
              <w:top w:val="nil"/>
              <w:left w:val="nil"/>
              <w:bottom w:val="nil"/>
              <w:right w:val="nil"/>
            </w:tcBorders>
          </w:tcPr>
          <w:p w14:paraId="165F24C1" w14:textId="6AA55DEE" w:rsidR="00132306" w:rsidRPr="00B70A2C" w:rsidRDefault="008D3281" w:rsidP="00B70A2C">
            <w:pPr>
              <w:jc w:val="right"/>
              <w:rPr>
                <w:rFonts w:ascii="Times New Roman" w:hAnsi="Times New Roman" w:cs="Times New Roman"/>
              </w:rPr>
            </w:pPr>
            <w:r w:rsidRPr="00B70A2C">
              <w:rPr>
                <w:rFonts w:ascii="Times New Roman" w:hAnsi="Times New Roman" w:cs="Times New Roman"/>
              </w:rPr>
              <w:t>48</w:t>
            </w:r>
          </w:p>
        </w:tc>
        <w:tc>
          <w:tcPr>
            <w:tcW w:w="355" w:type="pct"/>
            <w:tcBorders>
              <w:top w:val="nil"/>
              <w:left w:val="nil"/>
              <w:bottom w:val="nil"/>
              <w:right w:val="nil"/>
            </w:tcBorders>
          </w:tcPr>
          <w:p w14:paraId="5B11CBF0" w14:textId="04E6DA8C" w:rsidR="00132306"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54C9AF7F" w14:textId="77777777" w:rsidR="00132306" w:rsidRPr="00B70A2C" w:rsidRDefault="00132306" w:rsidP="00B70A2C">
            <w:pPr>
              <w:jc w:val="right"/>
              <w:rPr>
                <w:rFonts w:ascii="Times New Roman" w:hAnsi="Times New Roman" w:cs="Times New Roman"/>
              </w:rPr>
            </w:pPr>
          </w:p>
        </w:tc>
        <w:tc>
          <w:tcPr>
            <w:tcW w:w="313" w:type="pct"/>
            <w:tcBorders>
              <w:top w:val="nil"/>
              <w:left w:val="nil"/>
              <w:bottom w:val="nil"/>
              <w:right w:val="nil"/>
            </w:tcBorders>
          </w:tcPr>
          <w:p w14:paraId="585E77E6" w14:textId="27666683" w:rsidR="00132306" w:rsidRPr="00B70A2C" w:rsidRDefault="008D3281" w:rsidP="00B70A2C">
            <w:pPr>
              <w:jc w:val="right"/>
              <w:rPr>
                <w:rFonts w:ascii="Times New Roman" w:hAnsi="Times New Roman" w:cs="Times New Roman"/>
              </w:rPr>
            </w:pPr>
            <w:r w:rsidRPr="00B70A2C">
              <w:rPr>
                <w:rFonts w:ascii="Times New Roman" w:hAnsi="Times New Roman" w:cs="Times New Roman"/>
              </w:rPr>
              <w:t>88</w:t>
            </w:r>
          </w:p>
        </w:tc>
        <w:tc>
          <w:tcPr>
            <w:tcW w:w="364" w:type="pct"/>
            <w:tcBorders>
              <w:top w:val="nil"/>
              <w:left w:val="nil"/>
              <w:bottom w:val="nil"/>
              <w:right w:val="nil"/>
            </w:tcBorders>
          </w:tcPr>
          <w:p w14:paraId="3B2A8773" w14:textId="52B8C1FB" w:rsidR="00132306"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699B18E6" w14:textId="77777777" w:rsidR="00132306" w:rsidRPr="00B70A2C" w:rsidRDefault="00132306"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7E170C63" w14:textId="5B5207A4" w:rsidR="00132306" w:rsidRPr="00B70A2C" w:rsidRDefault="008D3281" w:rsidP="00B70A2C">
            <w:pPr>
              <w:jc w:val="right"/>
              <w:rPr>
                <w:rFonts w:ascii="Times New Roman" w:hAnsi="Times New Roman" w:cs="Times New Roman"/>
              </w:rPr>
            </w:pPr>
            <w:r w:rsidRPr="00B70A2C">
              <w:rPr>
                <w:rFonts w:ascii="Times New Roman" w:hAnsi="Times New Roman" w:cs="Times New Roman"/>
              </w:rPr>
              <w:t>100</w:t>
            </w:r>
          </w:p>
        </w:tc>
        <w:tc>
          <w:tcPr>
            <w:tcW w:w="360" w:type="pct"/>
            <w:tcBorders>
              <w:top w:val="nil"/>
              <w:left w:val="nil"/>
              <w:bottom w:val="nil"/>
              <w:right w:val="nil"/>
            </w:tcBorders>
          </w:tcPr>
          <w:p w14:paraId="55433430" w14:textId="3EBDA370" w:rsidR="00132306"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0E3609F4" w14:textId="77777777" w:rsidR="00132306" w:rsidRPr="00B70A2C" w:rsidRDefault="00132306"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4A289A6D" w14:textId="5D3319B5" w:rsidR="00132306" w:rsidRPr="00B70A2C" w:rsidRDefault="008D3281" w:rsidP="00B70A2C">
            <w:pPr>
              <w:jc w:val="right"/>
              <w:rPr>
                <w:rFonts w:ascii="Times New Roman" w:hAnsi="Times New Roman" w:cs="Times New Roman"/>
              </w:rPr>
            </w:pPr>
            <w:r w:rsidRPr="00B70A2C">
              <w:rPr>
                <w:rFonts w:ascii="Times New Roman" w:hAnsi="Times New Roman" w:cs="Times New Roman"/>
              </w:rPr>
              <w:t>80</w:t>
            </w:r>
          </w:p>
        </w:tc>
        <w:tc>
          <w:tcPr>
            <w:tcW w:w="510" w:type="pct"/>
            <w:tcBorders>
              <w:top w:val="nil"/>
              <w:left w:val="nil"/>
              <w:bottom w:val="nil"/>
              <w:right w:val="nil"/>
            </w:tcBorders>
          </w:tcPr>
          <w:p w14:paraId="12B917B3" w14:textId="38C2543B" w:rsidR="00132306" w:rsidRPr="00B70A2C" w:rsidRDefault="008D3281" w:rsidP="00B70A2C">
            <w:pPr>
              <w:jc w:val="right"/>
              <w:rPr>
                <w:rFonts w:ascii="Times New Roman" w:hAnsi="Times New Roman" w:cs="Times New Roman"/>
              </w:rPr>
            </w:pPr>
            <w:r w:rsidRPr="00B70A2C">
              <w:rPr>
                <w:rFonts w:ascii="Times New Roman" w:hAnsi="Times New Roman" w:cs="Times New Roman"/>
              </w:rPr>
              <w:t>-</w:t>
            </w:r>
          </w:p>
        </w:tc>
      </w:tr>
      <w:tr w:rsidR="008D3281" w:rsidRPr="00B70A2C" w14:paraId="7524BE81" w14:textId="77777777" w:rsidTr="00B70A2C">
        <w:trPr>
          <w:trHeight w:val="227"/>
        </w:trPr>
        <w:tc>
          <w:tcPr>
            <w:tcW w:w="925" w:type="pct"/>
            <w:tcBorders>
              <w:top w:val="nil"/>
              <w:left w:val="nil"/>
              <w:bottom w:val="nil"/>
              <w:right w:val="nil"/>
            </w:tcBorders>
          </w:tcPr>
          <w:p w14:paraId="35154918" w14:textId="75406F85" w:rsidR="00504F50" w:rsidRPr="00B70A2C" w:rsidRDefault="00504F50" w:rsidP="00E47245">
            <w:pPr>
              <w:widowControl w:val="0"/>
              <w:autoSpaceDE w:val="0"/>
              <w:autoSpaceDN w:val="0"/>
              <w:adjustRightInd w:val="0"/>
              <w:spacing w:after="0" w:line="240" w:lineRule="auto"/>
              <w:rPr>
                <w:rFonts w:ascii="Times New Roman" w:hAnsi="Times New Roman" w:cs="Times New Roman"/>
              </w:rPr>
            </w:pPr>
            <w:r w:rsidRPr="00B70A2C">
              <w:rPr>
                <w:rFonts w:ascii="Times New Roman" w:hAnsi="Times New Roman" w:cs="Times New Roman"/>
              </w:rPr>
              <w:t>Type (%)</w:t>
            </w:r>
          </w:p>
        </w:tc>
        <w:tc>
          <w:tcPr>
            <w:tcW w:w="789" w:type="pct"/>
            <w:tcBorders>
              <w:top w:val="nil"/>
              <w:left w:val="nil"/>
              <w:bottom w:val="nil"/>
              <w:right w:val="nil"/>
            </w:tcBorders>
          </w:tcPr>
          <w:p w14:paraId="0CA1EC79" w14:textId="77777777" w:rsidR="00504F50" w:rsidRPr="00B70A2C" w:rsidRDefault="00504F50" w:rsidP="00E47245">
            <w:pPr>
              <w:widowControl w:val="0"/>
              <w:autoSpaceDE w:val="0"/>
              <w:autoSpaceDN w:val="0"/>
              <w:adjustRightInd w:val="0"/>
              <w:spacing w:line="240" w:lineRule="auto"/>
              <w:jc w:val="center"/>
              <w:rPr>
                <w:rFonts w:ascii="Times New Roman" w:hAnsi="Times New Roman" w:cs="Times New Roman"/>
              </w:rPr>
            </w:pPr>
          </w:p>
        </w:tc>
        <w:tc>
          <w:tcPr>
            <w:tcW w:w="354" w:type="pct"/>
            <w:tcBorders>
              <w:top w:val="nil"/>
              <w:left w:val="nil"/>
              <w:bottom w:val="nil"/>
              <w:right w:val="nil"/>
            </w:tcBorders>
          </w:tcPr>
          <w:p w14:paraId="6D8B3DDF"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355" w:type="pct"/>
            <w:tcBorders>
              <w:top w:val="nil"/>
              <w:left w:val="nil"/>
              <w:bottom w:val="nil"/>
              <w:right w:val="nil"/>
            </w:tcBorders>
          </w:tcPr>
          <w:p w14:paraId="2D6F284B"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85" w:type="pct"/>
            <w:tcBorders>
              <w:top w:val="nil"/>
              <w:left w:val="nil"/>
              <w:bottom w:val="nil"/>
              <w:right w:val="nil"/>
            </w:tcBorders>
          </w:tcPr>
          <w:p w14:paraId="7C1073A4"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313" w:type="pct"/>
            <w:tcBorders>
              <w:top w:val="nil"/>
              <w:left w:val="nil"/>
              <w:bottom w:val="nil"/>
              <w:right w:val="nil"/>
            </w:tcBorders>
          </w:tcPr>
          <w:p w14:paraId="3AF98DC3" w14:textId="63C79E4A"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364" w:type="pct"/>
            <w:tcBorders>
              <w:top w:val="nil"/>
              <w:left w:val="nil"/>
              <w:bottom w:val="nil"/>
              <w:right w:val="nil"/>
            </w:tcBorders>
          </w:tcPr>
          <w:p w14:paraId="12C04756"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85" w:type="pct"/>
            <w:tcBorders>
              <w:top w:val="nil"/>
              <w:left w:val="nil"/>
              <w:bottom w:val="nil"/>
              <w:right w:val="nil"/>
            </w:tcBorders>
          </w:tcPr>
          <w:p w14:paraId="757D6B61"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678D70D5"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360" w:type="pct"/>
            <w:tcBorders>
              <w:top w:val="nil"/>
              <w:left w:val="nil"/>
              <w:bottom w:val="nil"/>
              <w:right w:val="nil"/>
            </w:tcBorders>
          </w:tcPr>
          <w:p w14:paraId="382E7A50"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85" w:type="pct"/>
            <w:tcBorders>
              <w:top w:val="nil"/>
              <w:left w:val="nil"/>
              <w:bottom w:val="nil"/>
              <w:right w:val="nil"/>
            </w:tcBorders>
          </w:tcPr>
          <w:p w14:paraId="6A172E38"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16550E69"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510" w:type="pct"/>
            <w:tcBorders>
              <w:top w:val="nil"/>
              <w:left w:val="nil"/>
              <w:bottom w:val="nil"/>
              <w:right w:val="nil"/>
            </w:tcBorders>
          </w:tcPr>
          <w:p w14:paraId="5816937B"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r>
      <w:tr w:rsidR="008D3281" w:rsidRPr="00B70A2C" w14:paraId="1FD3E420" w14:textId="77777777" w:rsidTr="00B70A2C">
        <w:trPr>
          <w:trHeight w:val="227"/>
        </w:trPr>
        <w:tc>
          <w:tcPr>
            <w:tcW w:w="925" w:type="pct"/>
            <w:tcBorders>
              <w:top w:val="nil"/>
              <w:left w:val="nil"/>
              <w:bottom w:val="nil"/>
              <w:right w:val="nil"/>
            </w:tcBorders>
          </w:tcPr>
          <w:p w14:paraId="1DAD5F7D" w14:textId="77777777" w:rsidR="00504F50" w:rsidRPr="00B70A2C" w:rsidRDefault="00504F50" w:rsidP="00E47245">
            <w:pPr>
              <w:widowControl w:val="0"/>
              <w:autoSpaceDE w:val="0"/>
              <w:autoSpaceDN w:val="0"/>
              <w:adjustRightInd w:val="0"/>
              <w:spacing w:after="0" w:line="240" w:lineRule="auto"/>
              <w:rPr>
                <w:rFonts w:ascii="Times New Roman" w:hAnsi="Times New Roman" w:cs="Times New Roman"/>
              </w:rPr>
            </w:pPr>
          </w:p>
        </w:tc>
        <w:tc>
          <w:tcPr>
            <w:tcW w:w="789" w:type="pct"/>
            <w:tcBorders>
              <w:top w:val="nil"/>
              <w:left w:val="nil"/>
              <w:bottom w:val="nil"/>
              <w:right w:val="nil"/>
            </w:tcBorders>
          </w:tcPr>
          <w:p w14:paraId="1F35055F" w14:textId="77777777" w:rsidR="00504F50" w:rsidRPr="00B70A2C" w:rsidRDefault="00504F50" w:rsidP="00E47245">
            <w:pPr>
              <w:widowControl w:val="0"/>
              <w:autoSpaceDE w:val="0"/>
              <w:autoSpaceDN w:val="0"/>
              <w:adjustRightInd w:val="0"/>
              <w:spacing w:line="240" w:lineRule="auto"/>
              <w:rPr>
                <w:rFonts w:ascii="Times New Roman" w:hAnsi="Times New Roman" w:cs="Times New Roman"/>
              </w:rPr>
            </w:pPr>
            <w:r w:rsidRPr="00B70A2C">
              <w:rPr>
                <w:rFonts w:ascii="Times New Roman" w:hAnsi="Times New Roman" w:cs="Times New Roman"/>
              </w:rPr>
              <w:t>Standard charity</w:t>
            </w:r>
          </w:p>
        </w:tc>
        <w:tc>
          <w:tcPr>
            <w:tcW w:w="354" w:type="pct"/>
            <w:tcBorders>
              <w:top w:val="nil"/>
              <w:left w:val="nil"/>
              <w:bottom w:val="nil"/>
              <w:right w:val="nil"/>
            </w:tcBorders>
          </w:tcPr>
          <w:p w14:paraId="2E66C837" w14:textId="32282DF2" w:rsidR="00504F50" w:rsidRPr="00B70A2C" w:rsidRDefault="008D3281"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97</w:t>
            </w:r>
          </w:p>
        </w:tc>
        <w:tc>
          <w:tcPr>
            <w:tcW w:w="355" w:type="pct"/>
            <w:tcBorders>
              <w:top w:val="nil"/>
              <w:left w:val="nil"/>
              <w:bottom w:val="nil"/>
              <w:right w:val="nil"/>
            </w:tcBorders>
          </w:tcPr>
          <w:p w14:paraId="1B847B1B" w14:textId="74A87B9A" w:rsidR="00504F50" w:rsidRPr="00B70A2C" w:rsidRDefault="008D3281"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65E1E2EC"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313" w:type="pct"/>
            <w:tcBorders>
              <w:top w:val="nil"/>
              <w:left w:val="nil"/>
              <w:bottom w:val="nil"/>
              <w:right w:val="nil"/>
            </w:tcBorders>
          </w:tcPr>
          <w:p w14:paraId="501BC183" w14:textId="203180DC" w:rsidR="00504F50" w:rsidRPr="00B70A2C" w:rsidRDefault="008D3281"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18</w:t>
            </w:r>
          </w:p>
        </w:tc>
        <w:tc>
          <w:tcPr>
            <w:tcW w:w="364" w:type="pct"/>
            <w:tcBorders>
              <w:top w:val="nil"/>
              <w:left w:val="nil"/>
              <w:bottom w:val="nil"/>
              <w:right w:val="nil"/>
            </w:tcBorders>
          </w:tcPr>
          <w:p w14:paraId="53DB9AAD" w14:textId="409DB186" w:rsidR="00504F50" w:rsidRPr="00B70A2C" w:rsidRDefault="008D3281"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2AC9C1C1"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191AD9F7" w14:textId="6EDCE0B2" w:rsidR="00504F50" w:rsidRPr="00B70A2C" w:rsidRDefault="008D3281"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2</w:t>
            </w:r>
          </w:p>
        </w:tc>
        <w:tc>
          <w:tcPr>
            <w:tcW w:w="360" w:type="pct"/>
            <w:tcBorders>
              <w:top w:val="nil"/>
              <w:left w:val="nil"/>
              <w:bottom w:val="nil"/>
              <w:right w:val="nil"/>
            </w:tcBorders>
          </w:tcPr>
          <w:p w14:paraId="36288BD5" w14:textId="71E0082C" w:rsidR="00504F50" w:rsidRPr="00B70A2C" w:rsidRDefault="008D3281"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4C893F92"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4858B209" w14:textId="4AA9746D" w:rsidR="00504F50" w:rsidRPr="00B70A2C" w:rsidRDefault="008D3281"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31</w:t>
            </w:r>
          </w:p>
        </w:tc>
        <w:tc>
          <w:tcPr>
            <w:tcW w:w="510" w:type="pct"/>
            <w:tcBorders>
              <w:top w:val="nil"/>
              <w:left w:val="nil"/>
              <w:bottom w:val="nil"/>
              <w:right w:val="nil"/>
            </w:tcBorders>
          </w:tcPr>
          <w:p w14:paraId="0DB2CFA0" w14:textId="34DE29C3" w:rsidR="00504F50" w:rsidRPr="00B70A2C" w:rsidRDefault="008D3281"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w:t>
            </w:r>
          </w:p>
        </w:tc>
      </w:tr>
      <w:tr w:rsidR="008D3281" w:rsidRPr="00B70A2C" w14:paraId="1D7E8E89" w14:textId="77777777" w:rsidTr="00B70A2C">
        <w:trPr>
          <w:trHeight w:val="227"/>
        </w:trPr>
        <w:tc>
          <w:tcPr>
            <w:tcW w:w="925" w:type="pct"/>
            <w:tcBorders>
              <w:top w:val="nil"/>
              <w:left w:val="nil"/>
              <w:bottom w:val="nil"/>
              <w:right w:val="nil"/>
            </w:tcBorders>
          </w:tcPr>
          <w:p w14:paraId="1EE35F8B" w14:textId="77777777" w:rsidR="00504F50" w:rsidRPr="00B70A2C" w:rsidRDefault="00504F50" w:rsidP="00E47245">
            <w:pPr>
              <w:widowControl w:val="0"/>
              <w:autoSpaceDE w:val="0"/>
              <w:autoSpaceDN w:val="0"/>
              <w:adjustRightInd w:val="0"/>
              <w:spacing w:after="0" w:line="240" w:lineRule="auto"/>
              <w:rPr>
                <w:rFonts w:ascii="Times New Roman" w:hAnsi="Times New Roman" w:cs="Times New Roman"/>
              </w:rPr>
            </w:pPr>
          </w:p>
        </w:tc>
        <w:tc>
          <w:tcPr>
            <w:tcW w:w="789" w:type="pct"/>
            <w:tcBorders>
              <w:top w:val="nil"/>
              <w:left w:val="nil"/>
              <w:bottom w:val="nil"/>
              <w:right w:val="nil"/>
            </w:tcBorders>
          </w:tcPr>
          <w:p w14:paraId="13D508A7" w14:textId="77777777" w:rsidR="00504F50" w:rsidRPr="00B70A2C" w:rsidRDefault="00504F50" w:rsidP="00E47245">
            <w:pPr>
              <w:widowControl w:val="0"/>
              <w:autoSpaceDE w:val="0"/>
              <w:autoSpaceDN w:val="0"/>
              <w:adjustRightInd w:val="0"/>
              <w:spacing w:line="240" w:lineRule="auto"/>
              <w:rPr>
                <w:rFonts w:ascii="Times New Roman" w:hAnsi="Times New Roman" w:cs="Times New Roman"/>
              </w:rPr>
            </w:pPr>
            <w:r w:rsidRPr="00B70A2C">
              <w:rPr>
                <w:rFonts w:ascii="Times New Roman" w:hAnsi="Times New Roman" w:cs="Times New Roman"/>
              </w:rPr>
              <w:t>Society or institution</w:t>
            </w:r>
          </w:p>
        </w:tc>
        <w:tc>
          <w:tcPr>
            <w:tcW w:w="354" w:type="pct"/>
            <w:tcBorders>
              <w:top w:val="nil"/>
              <w:left w:val="nil"/>
              <w:bottom w:val="nil"/>
              <w:right w:val="nil"/>
            </w:tcBorders>
          </w:tcPr>
          <w:p w14:paraId="1BFF4870" w14:textId="5652355D" w:rsidR="00504F50" w:rsidRPr="00B70A2C" w:rsidRDefault="008D3281" w:rsidP="00B70A2C">
            <w:pPr>
              <w:jc w:val="right"/>
              <w:rPr>
                <w:rFonts w:ascii="Times New Roman" w:hAnsi="Times New Roman" w:cs="Times New Roman"/>
              </w:rPr>
            </w:pPr>
            <w:r w:rsidRPr="00B70A2C">
              <w:rPr>
                <w:rFonts w:ascii="Times New Roman" w:hAnsi="Times New Roman" w:cs="Times New Roman"/>
              </w:rPr>
              <w:t>1</w:t>
            </w:r>
          </w:p>
        </w:tc>
        <w:tc>
          <w:tcPr>
            <w:tcW w:w="355" w:type="pct"/>
            <w:tcBorders>
              <w:top w:val="nil"/>
              <w:left w:val="nil"/>
              <w:bottom w:val="nil"/>
              <w:right w:val="nil"/>
            </w:tcBorders>
          </w:tcPr>
          <w:p w14:paraId="1D79FFC0" w14:textId="78432383"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06B4472B" w14:textId="77777777" w:rsidR="00504F50" w:rsidRPr="00B70A2C" w:rsidRDefault="00504F50" w:rsidP="00B70A2C">
            <w:pPr>
              <w:jc w:val="right"/>
              <w:rPr>
                <w:rFonts w:ascii="Times New Roman" w:hAnsi="Times New Roman" w:cs="Times New Roman"/>
              </w:rPr>
            </w:pPr>
          </w:p>
        </w:tc>
        <w:tc>
          <w:tcPr>
            <w:tcW w:w="313" w:type="pct"/>
            <w:tcBorders>
              <w:top w:val="nil"/>
              <w:left w:val="nil"/>
              <w:bottom w:val="nil"/>
              <w:right w:val="nil"/>
            </w:tcBorders>
          </w:tcPr>
          <w:p w14:paraId="6EB9A823" w14:textId="7463CEC8" w:rsidR="00504F50" w:rsidRPr="00B70A2C" w:rsidRDefault="008D3281" w:rsidP="00B70A2C">
            <w:pPr>
              <w:jc w:val="right"/>
              <w:rPr>
                <w:rFonts w:ascii="Times New Roman" w:hAnsi="Times New Roman" w:cs="Times New Roman"/>
              </w:rPr>
            </w:pPr>
            <w:r w:rsidRPr="00B70A2C">
              <w:rPr>
                <w:rFonts w:ascii="Times New Roman" w:hAnsi="Times New Roman" w:cs="Times New Roman"/>
              </w:rPr>
              <w:t>32</w:t>
            </w:r>
          </w:p>
        </w:tc>
        <w:tc>
          <w:tcPr>
            <w:tcW w:w="364" w:type="pct"/>
            <w:tcBorders>
              <w:top w:val="nil"/>
              <w:left w:val="nil"/>
              <w:bottom w:val="nil"/>
              <w:right w:val="nil"/>
            </w:tcBorders>
          </w:tcPr>
          <w:p w14:paraId="63742CC4" w14:textId="3A9BEA97"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7AE64453"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6ED81E48" w14:textId="30B057B7" w:rsidR="00504F50" w:rsidRPr="00B70A2C" w:rsidRDefault="008D3281" w:rsidP="00B70A2C">
            <w:pPr>
              <w:jc w:val="right"/>
              <w:rPr>
                <w:rFonts w:ascii="Times New Roman" w:hAnsi="Times New Roman" w:cs="Times New Roman"/>
              </w:rPr>
            </w:pPr>
            <w:r w:rsidRPr="00B70A2C">
              <w:rPr>
                <w:rFonts w:ascii="Times New Roman" w:hAnsi="Times New Roman" w:cs="Times New Roman"/>
              </w:rPr>
              <w:t>47</w:t>
            </w:r>
          </w:p>
        </w:tc>
        <w:tc>
          <w:tcPr>
            <w:tcW w:w="360" w:type="pct"/>
            <w:tcBorders>
              <w:top w:val="nil"/>
              <w:left w:val="nil"/>
              <w:bottom w:val="nil"/>
              <w:right w:val="nil"/>
            </w:tcBorders>
          </w:tcPr>
          <w:p w14:paraId="740EB35A" w14:textId="77D0FDF9"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730385FE"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69385CAE" w14:textId="419A2C6B" w:rsidR="00504F50" w:rsidRPr="00B70A2C" w:rsidRDefault="008D3281" w:rsidP="00B70A2C">
            <w:pPr>
              <w:jc w:val="right"/>
              <w:rPr>
                <w:rFonts w:ascii="Times New Roman" w:hAnsi="Times New Roman" w:cs="Times New Roman"/>
              </w:rPr>
            </w:pPr>
            <w:r w:rsidRPr="00B70A2C">
              <w:rPr>
                <w:rFonts w:ascii="Times New Roman" w:hAnsi="Times New Roman" w:cs="Times New Roman"/>
              </w:rPr>
              <w:t>24</w:t>
            </w:r>
          </w:p>
        </w:tc>
        <w:tc>
          <w:tcPr>
            <w:tcW w:w="510" w:type="pct"/>
            <w:tcBorders>
              <w:top w:val="nil"/>
              <w:left w:val="nil"/>
              <w:bottom w:val="nil"/>
              <w:right w:val="nil"/>
            </w:tcBorders>
          </w:tcPr>
          <w:p w14:paraId="32485F58" w14:textId="7FFD3175"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r>
      <w:tr w:rsidR="008D3281" w:rsidRPr="00B70A2C" w14:paraId="4357154E" w14:textId="77777777" w:rsidTr="00B70A2C">
        <w:trPr>
          <w:trHeight w:val="227"/>
        </w:trPr>
        <w:tc>
          <w:tcPr>
            <w:tcW w:w="925" w:type="pct"/>
            <w:tcBorders>
              <w:top w:val="nil"/>
              <w:left w:val="nil"/>
              <w:bottom w:val="nil"/>
              <w:right w:val="nil"/>
            </w:tcBorders>
          </w:tcPr>
          <w:p w14:paraId="1B2ECFE6" w14:textId="77777777" w:rsidR="00504F50" w:rsidRPr="00B70A2C" w:rsidRDefault="00504F50" w:rsidP="00E47245">
            <w:pPr>
              <w:widowControl w:val="0"/>
              <w:autoSpaceDE w:val="0"/>
              <w:autoSpaceDN w:val="0"/>
              <w:adjustRightInd w:val="0"/>
              <w:spacing w:after="0" w:line="240" w:lineRule="auto"/>
              <w:rPr>
                <w:rFonts w:ascii="Times New Roman" w:hAnsi="Times New Roman" w:cs="Times New Roman"/>
              </w:rPr>
            </w:pPr>
          </w:p>
        </w:tc>
        <w:tc>
          <w:tcPr>
            <w:tcW w:w="789" w:type="pct"/>
            <w:tcBorders>
              <w:top w:val="nil"/>
              <w:left w:val="nil"/>
              <w:bottom w:val="nil"/>
              <w:right w:val="nil"/>
            </w:tcBorders>
          </w:tcPr>
          <w:p w14:paraId="6DEA71E2" w14:textId="77777777" w:rsidR="00504F50" w:rsidRPr="00B70A2C" w:rsidRDefault="00504F50" w:rsidP="00E47245">
            <w:pPr>
              <w:widowControl w:val="0"/>
              <w:autoSpaceDE w:val="0"/>
              <w:autoSpaceDN w:val="0"/>
              <w:adjustRightInd w:val="0"/>
              <w:spacing w:line="240" w:lineRule="auto"/>
              <w:rPr>
                <w:rFonts w:ascii="Times New Roman" w:hAnsi="Times New Roman" w:cs="Times New Roman"/>
              </w:rPr>
            </w:pPr>
            <w:r w:rsidRPr="00B70A2C">
              <w:rPr>
                <w:rFonts w:ascii="Times New Roman" w:hAnsi="Times New Roman" w:cs="Times New Roman"/>
              </w:rPr>
              <w:t>Trustees of a trust</w:t>
            </w:r>
          </w:p>
        </w:tc>
        <w:tc>
          <w:tcPr>
            <w:tcW w:w="354" w:type="pct"/>
            <w:tcBorders>
              <w:top w:val="nil"/>
              <w:left w:val="nil"/>
              <w:bottom w:val="nil"/>
              <w:right w:val="nil"/>
            </w:tcBorders>
          </w:tcPr>
          <w:p w14:paraId="021901CD" w14:textId="3F4FAF80" w:rsidR="00504F50" w:rsidRPr="00B70A2C" w:rsidRDefault="008D3281" w:rsidP="00B70A2C">
            <w:pPr>
              <w:jc w:val="right"/>
              <w:rPr>
                <w:rFonts w:ascii="Times New Roman" w:hAnsi="Times New Roman" w:cs="Times New Roman"/>
              </w:rPr>
            </w:pPr>
            <w:r w:rsidRPr="00B70A2C">
              <w:rPr>
                <w:rFonts w:ascii="Times New Roman" w:hAnsi="Times New Roman" w:cs="Times New Roman"/>
              </w:rPr>
              <w:t>1</w:t>
            </w:r>
          </w:p>
        </w:tc>
        <w:tc>
          <w:tcPr>
            <w:tcW w:w="355" w:type="pct"/>
            <w:tcBorders>
              <w:top w:val="nil"/>
              <w:left w:val="nil"/>
              <w:bottom w:val="nil"/>
              <w:right w:val="nil"/>
            </w:tcBorders>
          </w:tcPr>
          <w:p w14:paraId="1C19A15A" w14:textId="44BD84F2"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1F488BEF" w14:textId="77777777" w:rsidR="00504F50" w:rsidRPr="00B70A2C" w:rsidRDefault="00504F50" w:rsidP="00B70A2C">
            <w:pPr>
              <w:jc w:val="right"/>
              <w:rPr>
                <w:rFonts w:ascii="Times New Roman" w:hAnsi="Times New Roman" w:cs="Times New Roman"/>
              </w:rPr>
            </w:pPr>
          </w:p>
        </w:tc>
        <w:tc>
          <w:tcPr>
            <w:tcW w:w="313" w:type="pct"/>
            <w:tcBorders>
              <w:top w:val="nil"/>
              <w:left w:val="nil"/>
              <w:bottom w:val="nil"/>
              <w:right w:val="nil"/>
            </w:tcBorders>
          </w:tcPr>
          <w:p w14:paraId="561FE84E" w14:textId="1CE0BA24" w:rsidR="00504F50" w:rsidRPr="00B70A2C" w:rsidRDefault="008D3281" w:rsidP="00B70A2C">
            <w:pPr>
              <w:jc w:val="right"/>
              <w:rPr>
                <w:rFonts w:ascii="Times New Roman" w:hAnsi="Times New Roman" w:cs="Times New Roman"/>
              </w:rPr>
            </w:pPr>
            <w:r w:rsidRPr="00B70A2C">
              <w:rPr>
                <w:rFonts w:ascii="Times New Roman" w:hAnsi="Times New Roman" w:cs="Times New Roman"/>
              </w:rPr>
              <w:t>50</w:t>
            </w:r>
          </w:p>
        </w:tc>
        <w:tc>
          <w:tcPr>
            <w:tcW w:w="364" w:type="pct"/>
            <w:tcBorders>
              <w:top w:val="nil"/>
              <w:left w:val="nil"/>
              <w:bottom w:val="nil"/>
              <w:right w:val="nil"/>
            </w:tcBorders>
          </w:tcPr>
          <w:p w14:paraId="211FE642" w14:textId="65417F0A"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5FD1375C"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7845A5E7" w14:textId="4C96AC2E" w:rsidR="00504F50" w:rsidRPr="00B70A2C" w:rsidRDefault="008D3281" w:rsidP="00B70A2C">
            <w:pPr>
              <w:jc w:val="right"/>
              <w:rPr>
                <w:rFonts w:ascii="Times New Roman" w:hAnsi="Times New Roman" w:cs="Times New Roman"/>
              </w:rPr>
            </w:pPr>
            <w:r w:rsidRPr="00B70A2C">
              <w:rPr>
                <w:rFonts w:ascii="Times New Roman" w:hAnsi="Times New Roman" w:cs="Times New Roman"/>
              </w:rPr>
              <w:t>51</w:t>
            </w:r>
          </w:p>
        </w:tc>
        <w:tc>
          <w:tcPr>
            <w:tcW w:w="360" w:type="pct"/>
            <w:tcBorders>
              <w:top w:val="nil"/>
              <w:left w:val="nil"/>
              <w:bottom w:val="nil"/>
              <w:right w:val="nil"/>
            </w:tcBorders>
          </w:tcPr>
          <w:p w14:paraId="22FA74D3" w14:textId="5A950484"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7D607753"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78CE9F96" w14:textId="1C9C28CC" w:rsidR="00504F50" w:rsidRPr="00B70A2C" w:rsidRDefault="008D3281" w:rsidP="00B70A2C">
            <w:pPr>
              <w:jc w:val="right"/>
              <w:rPr>
                <w:rFonts w:ascii="Times New Roman" w:hAnsi="Times New Roman" w:cs="Times New Roman"/>
              </w:rPr>
            </w:pPr>
            <w:r w:rsidRPr="00B70A2C">
              <w:rPr>
                <w:rFonts w:ascii="Times New Roman" w:hAnsi="Times New Roman" w:cs="Times New Roman"/>
              </w:rPr>
              <w:t>45</w:t>
            </w:r>
          </w:p>
        </w:tc>
        <w:tc>
          <w:tcPr>
            <w:tcW w:w="510" w:type="pct"/>
            <w:tcBorders>
              <w:top w:val="nil"/>
              <w:left w:val="nil"/>
              <w:bottom w:val="nil"/>
              <w:right w:val="nil"/>
            </w:tcBorders>
          </w:tcPr>
          <w:p w14:paraId="29CD4830" w14:textId="3587011C"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r>
      <w:tr w:rsidR="008D3281" w:rsidRPr="00B70A2C" w14:paraId="0533BD14" w14:textId="77777777" w:rsidTr="00B70A2C">
        <w:trPr>
          <w:trHeight w:val="227"/>
        </w:trPr>
        <w:tc>
          <w:tcPr>
            <w:tcW w:w="925" w:type="pct"/>
            <w:tcBorders>
              <w:top w:val="nil"/>
              <w:left w:val="nil"/>
              <w:bottom w:val="nil"/>
              <w:right w:val="nil"/>
            </w:tcBorders>
          </w:tcPr>
          <w:p w14:paraId="7ED93031" w14:textId="4EEFC293" w:rsidR="00504F50" w:rsidRPr="00B70A2C" w:rsidRDefault="00504F50" w:rsidP="00E47245">
            <w:pPr>
              <w:widowControl w:val="0"/>
              <w:autoSpaceDE w:val="0"/>
              <w:autoSpaceDN w:val="0"/>
              <w:adjustRightInd w:val="0"/>
              <w:spacing w:after="0" w:line="240" w:lineRule="auto"/>
              <w:rPr>
                <w:rFonts w:ascii="Times New Roman" w:hAnsi="Times New Roman" w:cs="Times New Roman"/>
              </w:rPr>
            </w:pPr>
            <w:r w:rsidRPr="00B70A2C">
              <w:rPr>
                <w:rFonts w:ascii="Times New Roman" w:hAnsi="Times New Roman" w:cs="Times New Roman"/>
              </w:rPr>
              <w:t>Education</w:t>
            </w:r>
            <w:r w:rsidR="008D3281" w:rsidRPr="00B70A2C">
              <w:rPr>
                <w:rFonts w:ascii="Times New Roman" w:hAnsi="Times New Roman" w:cs="Times New Roman"/>
              </w:rPr>
              <w:t xml:space="preserve"> (%)</w:t>
            </w:r>
          </w:p>
        </w:tc>
        <w:tc>
          <w:tcPr>
            <w:tcW w:w="789" w:type="pct"/>
            <w:tcBorders>
              <w:top w:val="nil"/>
              <w:left w:val="nil"/>
              <w:bottom w:val="nil"/>
              <w:right w:val="nil"/>
            </w:tcBorders>
          </w:tcPr>
          <w:p w14:paraId="6D1AC65A" w14:textId="77777777" w:rsidR="00504F50" w:rsidRPr="00B70A2C" w:rsidRDefault="00504F50" w:rsidP="00E47245">
            <w:pPr>
              <w:widowControl w:val="0"/>
              <w:autoSpaceDE w:val="0"/>
              <w:autoSpaceDN w:val="0"/>
              <w:adjustRightInd w:val="0"/>
              <w:spacing w:line="240" w:lineRule="auto"/>
              <w:jc w:val="center"/>
              <w:rPr>
                <w:rFonts w:ascii="Times New Roman" w:hAnsi="Times New Roman" w:cs="Times New Roman"/>
              </w:rPr>
            </w:pPr>
          </w:p>
        </w:tc>
        <w:tc>
          <w:tcPr>
            <w:tcW w:w="354" w:type="pct"/>
            <w:tcBorders>
              <w:top w:val="nil"/>
              <w:left w:val="nil"/>
              <w:bottom w:val="nil"/>
              <w:right w:val="nil"/>
            </w:tcBorders>
          </w:tcPr>
          <w:p w14:paraId="48A1E825" w14:textId="497365F2" w:rsidR="00504F50" w:rsidRPr="00B70A2C" w:rsidRDefault="008D3281" w:rsidP="00B70A2C">
            <w:pPr>
              <w:jc w:val="right"/>
              <w:rPr>
                <w:rFonts w:ascii="Times New Roman" w:hAnsi="Times New Roman" w:cs="Times New Roman"/>
              </w:rPr>
            </w:pPr>
            <w:r w:rsidRPr="00B70A2C">
              <w:rPr>
                <w:rFonts w:ascii="Times New Roman" w:hAnsi="Times New Roman" w:cs="Times New Roman"/>
              </w:rPr>
              <w:t>21</w:t>
            </w:r>
          </w:p>
        </w:tc>
        <w:tc>
          <w:tcPr>
            <w:tcW w:w="355" w:type="pct"/>
            <w:tcBorders>
              <w:top w:val="nil"/>
              <w:left w:val="nil"/>
              <w:bottom w:val="nil"/>
              <w:right w:val="nil"/>
            </w:tcBorders>
          </w:tcPr>
          <w:p w14:paraId="7356EFC6" w14:textId="5FBC9FE8"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06E0E4BD" w14:textId="77777777" w:rsidR="00504F50" w:rsidRPr="00B70A2C" w:rsidRDefault="00504F50" w:rsidP="00B70A2C">
            <w:pPr>
              <w:jc w:val="right"/>
              <w:rPr>
                <w:rFonts w:ascii="Times New Roman" w:hAnsi="Times New Roman" w:cs="Times New Roman"/>
              </w:rPr>
            </w:pPr>
          </w:p>
        </w:tc>
        <w:tc>
          <w:tcPr>
            <w:tcW w:w="313" w:type="pct"/>
            <w:tcBorders>
              <w:top w:val="nil"/>
              <w:left w:val="nil"/>
              <w:bottom w:val="nil"/>
              <w:right w:val="nil"/>
            </w:tcBorders>
          </w:tcPr>
          <w:p w14:paraId="373862F5" w14:textId="437C5952" w:rsidR="00504F50" w:rsidRPr="00B70A2C" w:rsidRDefault="008D3281" w:rsidP="00B70A2C">
            <w:pPr>
              <w:jc w:val="right"/>
              <w:rPr>
                <w:rFonts w:ascii="Times New Roman" w:hAnsi="Times New Roman" w:cs="Times New Roman"/>
              </w:rPr>
            </w:pPr>
            <w:r w:rsidRPr="00B70A2C">
              <w:rPr>
                <w:rFonts w:ascii="Times New Roman" w:hAnsi="Times New Roman" w:cs="Times New Roman"/>
              </w:rPr>
              <w:t>22</w:t>
            </w:r>
          </w:p>
        </w:tc>
        <w:tc>
          <w:tcPr>
            <w:tcW w:w="364" w:type="pct"/>
            <w:tcBorders>
              <w:top w:val="nil"/>
              <w:left w:val="nil"/>
              <w:bottom w:val="nil"/>
              <w:right w:val="nil"/>
            </w:tcBorders>
          </w:tcPr>
          <w:p w14:paraId="09391903" w14:textId="74817459"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6E8150EB"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720A367D" w14:textId="68F87E86" w:rsidR="00504F50" w:rsidRPr="00B70A2C" w:rsidRDefault="008D3281" w:rsidP="00B70A2C">
            <w:pPr>
              <w:jc w:val="right"/>
              <w:rPr>
                <w:rFonts w:ascii="Times New Roman" w:hAnsi="Times New Roman" w:cs="Times New Roman"/>
              </w:rPr>
            </w:pPr>
            <w:r w:rsidRPr="00B70A2C">
              <w:rPr>
                <w:rFonts w:ascii="Times New Roman" w:hAnsi="Times New Roman" w:cs="Times New Roman"/>
              </w:rPr>
              <w:t>21</w:t>
            </w:r>
          </w:p>
        </w:tc>
        <w:tc>
          <w:tcPr>
            <w:tcW w:w="360" w:type="pct"/>
            <w:tcBorders>
              <w:top w:val="nil"/>
              <w:left w:val="nil"/>
              <w:bottom w:val="nil"/>
              <w:right w:val="nil"/>
            </w:tcBorders>
          </w:tcPr>
          <w:p w14:paraId="0CD941A4" w14:textId="4D3432C0"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05B7D72C"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78C65500" w14:textId="56176E53" w:rsidR="00504F50" w:rsidRPr="00B70A2C" w:rsidRDefault="008D3281" w:rsidP="00B70A2C">
            <w:pPr>
              <w:jc w:val="right"/>
              <w:rPr>
                <w:rFonts w:ascii="Times New Roman" w:hAnsi="Times New Roman" w:cs="Times New Roman"/>
              </w:rPr>
            </w:pPr>
            <w:r w:rsidRPr="00B70A2C">
              <w:rPr>
                <w:rFonts w:ascii="Times New Roman" w:hAnsi="Times New Roman" w:cs="Times New Roman"/>
              </w:rPr>
              <w:t>22</w:t>
            </w:r>
          </w:p>
        </w:tc>
        <w:tc>
          <w:tcPr>
            <w:tcW w:w="510" w:type="pct"/>
            <w:tcBorders>
              <w:top w:val="nil"/>
              <w:left w:val="nil"/>
              <w:bottom w:val="nil"/>
              <w:right w:val="nil"/>
            </w:tcBorders>
          </w:tcPr>
          <w:p w14:paraId="6BB7CCAB" w14:textId="67B301DF"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r>
      <w:tr w:rsidR="008D3281" w:rsidRPr="00B70A2C" w14:paraId="6F214D6E" w14:textId="77777777" w:rsidTr="00B70A2C">
        <w:trPr>
          <w:trHeight w:val="227"/>
        </w:trPr>
        <w:tc>
          <w:tcPr>
            <w:tcW w:w="925" w:type="pct"/>
            <w:tcBorders>
              <w:top w:val="nil"/>
              <w:left w:val="nil"/>
              <w:bottom w:val="nil"/>
              <w:right w:val="nil"/>
            </w:tcBorders>
          </w:tcPr>
          <w:p w14:paraId="2CE94C9B" w14:textId="5F3CA267" w:rsidR="00504F50" w:rsidRPr="00B70A2C" w:rsidRDefault="00504F50" w:rsidP="00E47245">
            <w:pPr>
              <w:widowControl w:val="0"/>
              <w:autoSpaceDE w:val="0"/>
              <w:autoSpaceDN w:val="0"/>
              <w:adjustRightInd w:val="0"/>
              <w:spacing w:after="0" w:line="240" w:lineRule="auto"/>
              <w:rPr>
                <w:rFonts w:ascii="Times New Roman" w:hAnsi="Times New Roman" w:cs="Times New Roman"/>
              </w:rPr>
            </w:pPr>
            <w:r w:rsidRPr="00B70A2C">
              <w:rPr>
                <w:rFonts w:ascii="Times New Roman" w:hAnsi="Times New Roman" w:cs="Times New Roman"/>
              </w:rPr>
              <w:t>CYP</w:t>
            </w:r>
            <w:r w:rsidR="008D3281" w:rsidRPr="00B70A2C">
              <w:rPr>
                <w:rFonts w:ascii="Times New Roman" w:hAnsi="Times New Roman" w:cs="Times New Roman"/>
              </w:rPr>
              <w:t xml:space="preserve"> (%)</w:t>
            </w:r>
          </w:p>
        </w:tc>
        <w:tc>
          <w:tcPr>
            <w:tcW w:w="789" w:type="pct"/>
            <w:tcBorders>
              <w:top w:val="nil"/>
              <w:left w:val="nil"/>
              <w:bottom w:val="nil"/>
              <w:right w:val="nil"/>
            </w:tcBorders>
          </w:tcPr>
          <w:p w14:paraId="0D2CB3D3" w14:textId="77777777" w:rsidR="00504F50" w:rsidRPr="00B70A2C" w:rsidRDefault="00504F50" w:rsidP="00E47245">
            <w:pPr>
              <w:widowControl w:val="0"/>
              <w:autoSpaceDE w:val="0"/>
              <w:autoSpaceDN w:val="0"/>
              <w:adjustRightInd w:val="0"/>
              <w:spacing w:line="240" w:lineRule="auto"/>
              <w:jc w:val="center"/>
              <w:rPr>
                <w:rFonts w:ascii="Times New Roman" w:hAnsi="Times New Roman" w:cs="Times New Roman"/>
              </w:rPr>
            </w:pPr>
          </w:p>
        </w:tc>
        <w:tc>
          <w:tcPr>
            <w:tcW w:w="354" w:type="pct"/>
            <w:tcBorders>
              <w:top w:val="nil"/>
              <w:left w:val="nil"/>
              <w:bottom w:val="nil"/>
              <w:right w:val="nil"/>
            </w:tcBorders>
          </w:tcPr>
          <w:p w14:paraId="55FFD43D" w14:textId="3C953E71" w:rsidR="00504F50" w:rsidRPr="00B70A2C" w:rsidRDefault="008D3281" w:rsidP="00B70A2C">
            <w:pPr>
              <w:jc w:val="right"/>
              <w:rPr>
                <w:rFonts w:ascii="Times New Roman" w:hAnsi="Times New Roman" w:cs="Times New Roman"/>
              </w:rPr>
            </w:pPr>
            <w:r w:rsidRPr="00B70A2C">
              <w:rPr>
                <w:rFonts w:ascii="Times New Roman" w:hAnsi="Times New Roman" w:cs="Times New Roman"/>
              </w:rPr>
              <w:t>22</w:t>
            </w:r>
          </w:p>
        </w:tc>
        <w:tc>
          <w:tcPr>
            <w:tcW w:w="355" w:type="pct"/>
            <w:tcBorders>
              <w:top w:val="nil"/>
              <w:left w:val="nil"/>
              <w:bottom w:val="nil"/>
              <w:right w:val="nil"/>
            </w:tcBorders>
          </w:tcPr>
          <w:p w14:paraId="59CFBB23" w14:textId="1DA256AA"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19ECAC17" w14:textId="77777777" w:rsidR="00504F50" w:rsidRPr="00B70A2C" w:rsidRDefault="00504F50" w:rsidP="00B70A2C">
            <w:pPr>
              <w:jc w:val="right"/>
              <w:rPr>
                <w:rFonts w:ascii="Times New Roman" w:hAnsi="Times New Roman" w:cs="Times New Roman"/>
              </w:rPr>
            </w:pPr>
          </w:p>
        </w:tc>
        <w:tc>
          <w:tcPr>
            <w:tcW w:w="313" w:type="pct"/>
            <w:tcBorders>
              <w:top w:val="nil"/>
              <w:left w:val="nil"/>
              <w:bottom w:val="nil"/>
              <w:right w:val="nil"/>
            </w:tcBorders>
          </w:tcPr>
          <w:p w14:paraId="06FB4D25" w14:textId="59E782B4" w:rsidR="00504F50" w:rsidRPr="00B70A2C" w:rsidRDefault="008D3281" w:rsidP="00B70A2C">
            <w:pPr>
              <w:jc w:val="right"/>
              <w:rPr>
                <w:rFonts w:ascii="Times New Roman" w:hAnsi="Times New Roman" w:cs="Times New Roman"/>
              </w:rPr>
            </w:pPr>
            <w:r w:rsidRPr="00B70A2C">
              <w:rPr>
                <w:rFonts w:ascii="Times New Roman" w:hAnsi="Times New Roman" w:cs="Times New Roman"/>
              </w:rPr>
              <w:t>27</w:t>
            </w:r>
          </w:p>
        </w:tc>
        <w:tc>
          <w:tcPr>
            <w:tcW w:w="364" w:type="pct"/>
            <w:tcBorders>
              <w:top w:val="nil"/>
              <w:left w:val="nil"/>
              <w:bottom w:val="nil"/>
              <w:right w:val="nil"/>
            </w:tcBorders>
          </w:tcPr>
          <w:p w14:paraId="71CB2D59" w14:textId="0D81A20E"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1A97B648"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4938A0E0" w14:textId="771C8B63" w:rsidR="00504F50" w:rsidRPr="00B70A2C" w:rsidRDefault="008D3281" w:rsidP="00B70A2C">
            <w:pPr>
              <w:jc w:val="right"/>
              <w:rPr>
                <w:rFonts w:ascii="Times New Roman" w:hAnsi="Times New Roman" w:cs="Times New Roman"/>
              </w:rPr>
            </w:pPr>
            <w:r w:rsidRPr="00B70A2C">
              <w:rPr>
                <w:rFonts w:ascii="Times New Roman" w:hAnsi="Times New Roman" w:cs="Times New Roman"/>
              </w:rPr>
              <w:t>20</w:t>
            </w:r>
          </w:p>
        </w:tc>
        <w:tc>
          <w:tcPr>
            <w:tcW w:w="360" w:type="pct"/>
            <w:tcBorders>
              <w:top w:val="nil"/>
              <w:left w:val="nil"/>
              <w:bottom w:val="nil"/>
              <w:right w:val="nil"/>
            </w:tcBorders>
          </w:tcPr>
          <w:p w14:paraId="1C809E79" w14:textId="1FC48853"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0D4C4D6B"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4342C3F5" w14:textId="2CE17F6B" w:rsidR="00504F50" w:rsidRPr="00B70A2C" w:rsidRDefault="008D3281" w:rsidP="00B70A2C">
            <w:pPr>
              <w:jc w:val="right"/>
              <w:rPr>
                <w:rFonts w:ascii="Times New Roman" w:hAnsi="Times New Roman" w:cs="Times New Roman"/>
              </w:rPr>
            </w:pPr>
            <w:r w:rsidRPr="00B70A2C">
              <w:rPr>
                <w:rFonts w:ascii="Times New Roman" w:hAnsi="Times New Roman" w:cs="Times New Roman"/>
              </w:rPr>
              <w:t>22</w:t>
            </w:r>
          </w:p>
        </w:tc>
        <w:tc>
          <w:tcPr>
            <w:tcW w:w="510" w:type="pct"/>
            <w:tcBorders>
              <w:top w:val="nil"/>
              <w:left w:val="nil"/>
              <w:bottom w:val="nil"/>
              <w:right w:val="nil"/>
            </w:tcBorders>
          </w:tcPr>
          <w:p w14:paraId="73646FC8" w14:textId="16F36642"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r>
      <w:tr w:rsidR="008D3281" w:rsidRPr="00B70A2C" w14:paraId="54B9FA14" w14:textId="77777777" w:rsidTr="00B70A2C">
        <w:trPr>
          <w:trHeight w:val="227"/>
        </w:trPr>
        <w:tc>
          <w:tcPr>
            <w:tcW w:w="925" w:type="pct"/>
            <w:tcBorders>
              <w:top w:val="nil"/>
              <w:left w:val="nil"/>
              <w:bottom w:val="nil"/>
              <w:right w:val="nil"/>
            </w:tcBorders>
          </w:tcPr>
          <w:p w14:paraId="136DE88B" w14:textId="25427243" w:rsidR="00504F50" w:rsidRPr="00B70A2C" w:rsidRDefault="00504F50" w:rsidP="00E47245">
            <w:pPr>
              <w:widowControl w:val="0"/>
              <w:autoSpaceDE w:val="0"/>
              <w:autoSpaceDN w:val="0"/>
              <w:adjustRightInd w:val="0"/>
              <w:spacing w:after="0" w:line="240" w:lineRule="auto"/>
              <w:rPr>
                <w:rFonts w:ascii="Times New Roman" w:hAnsi="Times New Roman" w:cs="Times New Roman"/>
              </w:rPr>
            </w:pPr>
            <w:r w:rsidRPr="00B70A2C">
              <w:rPr>
                <w:rFonts w:ascii="Times New Roman" w:hAnsi="Times New Roman" w:cs="Times New Roman"/>
              </w:rPr>
              <w:t>Donations</w:t>
            </w:r>
            <w:r w:rsidR="008D3281" w:rsidRPr="00B70A2C">
              <w:rPr>
                <w:rFonts w:ascii="Times New Roman" w:hAnsi="Times New Roman" w:cs="Times New Roman"/>
              </w:rPr>
              <w:t xml:space="preserve"> (%)</w:t>
            </w:r>
          </w:p>
        </w:tc>
        <w:tc>
          <w:tcPr>
            <w:tcW w:w="789" w:type="pct"/>
            <w:tcBorders>
              <w:top w:val="nil"/>
              <w:left w:val="nil"/>
              <w:bottom w:val="nil"/>
              <w:right w:val="nil"/>
            </w:tcBorders>
          </w:tcPr>
          <w:p w14:paraId="7A7EE39A" w14:textId="77777777" w:rsidR="00504F50" w:rsidRPr="00B70A2C" w:rsidRDefault="00504F50" w:rsidP="00E47245">
            <w:pPr>
              <w:widowControl w:val="0"/>
              <w:autoSpaceDE w:val="0"/>
              <w:autoSpaceDN w:val="0"/>
              <w:adjustRightInd w:val="0"/>
              <w:spacing w:line="240" w:lineRule="auto"/>
              <w:rPr>
                <w:rFonts w:ascii="Times New Roman" w:hAnsi="Times New Roman" w:cs="Times New Roman"/>
              </w:rPr>
            </w:pPr>
          </w:p>
        </w:tc>
        <w:tc>
          <w:tcPr>
            <w:tcW w:w="354" w:type="pct"/>
            <w:tcBorders>
              <w:top w:val="nil"/>
              <w:left w:val="nil"/>
              <w:bottom w:val="nil"/>
              <w:right w:val="nil"/>
            </w:tcBorders>
          </w:tcPr>
          <w:p w14:paraId="46A6D11A" w14:textId="2D9AA2DE" w:rsidR="00504F50" w:rsidRPr="00B70A2C" w:rsidRDefault="008D3281" w:rsidP="00B70A2C">
            <w:pPr>
              <w:jc w:val="right"/>
              <w:rPr>
                <w:rFonts w:ascii="Times New Roman" w:hAnsi="Times New Roman" w:cs="Times New Roman"/>
              </w:rPr>
            </w:pPr>
            <w:r w:rsidRPr="00B70A2C">
              <w:rPr>
                <w:rFonts w:ascii="Times New Roman" w:hAnsi="Times New Roman" w:cs="Times New Roman"/>
              </w:rPr>
              <w:t>39</w:t>
            </w:r>
          </w:p>
        </w:tc>
        <w:tc>
          <w:tcPr>
            <w:tcW w:w="355" w:type="pct"/>
            <w:tcBorders>
              <w:top w:val="nil"/>
              <w:left w:val="nil"/>
              <w:bottom w:val="nil"/>
              <w:right w:val="nil"/>
            </w:tcBorders>
          </w:tcPr>
          <w:p w14:paraId="08CC28F9" w14:textId="162C8867"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3F9C36F3" w14:textId="77777777" w:rsidR="00504F50" w:rsidRPr="00B70A2C" w:rsidRDefault="00504F50" w:rsidP="00B70A2C">
            <w:pPr>
              <w:jc w:val="right"/>
              <w:rPr>
                <w:rFonts w:ascii="Times New Roman" w:hAnsi="Times New Roman" w:cs="Times New Roman"/>
              </w:rPr>
            </w:pPr>
          </w:p>
        </w:tc>
        <w:tc>
          <w:tcPr>
            <w:tcW w:w="313" w:type="pct"/>
            <w:tcBorders>
              <w:top w:val="nil"/>
              <w:left w:val="nil"/>
              <w:bottom w:val="nil"/>
              <w:right w:val="nil"/>
            </w:tcBorders>
          </w:tcPr>
          <w:p w14:paraId="70EE733E" w14:textId="32783F0F" w:rsidR="00504F50" w:rsidRPr="00B70A2C" w:rsidRDefault="008D3281" w:rsidP="00B70A2C">
            <w:pPr>
              <w:jc w:val="right"/>
              <w:rPr>
                <w:rFonts w:ascii="Times New Roman" w:hAnsi="Times New Roman" w:cs="Times New Roman"/>
              </w:rPr>
            </w:pPr>
            <w:r w:rsidRPr="00B70A2C">
              <w:rPr>
                <w:rFonts w:ascii="Times New Roman" w:hAnsi="Times New Roman" w:cs="Times New Roman"/>
              </w:rPr>
              <w:t>22</w:t>
            </w:r>
          </w:p>
        </w:tc>
        <w:tc>
          <w:tcPr>
            <w:tcW w:w="364" w:type="pct"/>
            <w:tcBorders>
              <w:top w:val="nil"/>
              <w:left w:val="nil"/>
              <w:bottom w:val="nil"/>
              <w:right w:val="nil"/>
            </w:tcBorders>
          </w:tcPr>
          <w:p w14:paraId="06C80BBC" w14:textId="4C645B64"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4376E8AA"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43C89288" w14:textId="3BB15691" w:rsidR="00504F50" w:rsidRPr="00B70A2C" w:rsidRDefault="008D3281" w:rsidP="00B70A2C">
            <w:pPr>
              <w:jc w:val="right"/>
              <w:rPr>
                <w:rFonts w:ascii="Times New Roman" w:hAnsi="Times New Roman" w:cs="Times New Roman"/>
              </w:rPr>
            </w:pPr>
            <w:r w:rsidRPr="00B70A2C">
              <w:rPr>
                <w:rFonts w:ascii="Times New Roman" w:hAnsi="Times New Roman" w:cs="Times New Roman"/>
              </w:rPr>
              <w:t>20</w:t>
            </w:r>
          </w:p>
        </w:tc>
        <w:tc>
          <w:tcPr>
            <w:tcW w:w="360" w:type="pct"/>
            <w:tcBorders>
              <w:top w:val="nil"/>
              <w:left w:val="nil"/>
              <w:bottom w:val="nil"/>
              <w:right w:val="nil"/>
            </w:tcBorders>
          </w:tcPr>
          <w:p w14:paraId="00AA3DE8" w14:textId="72BFF832"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1E15A03C"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3EB0E50E" w14:textId="02C0673A" w:rsidR="00504F50" w:rsidRPr="00B70A2C" w:rsidRDefault="008D3281" w:rsidP="00B70A2C">
            <w:pPr>
              <w:jc w:val="right"/>
              <w:rPr>
                <w:rFonts w:ascii="Times New Roman" w:hAnsi="Times New Roman" w:cs="Times New Roman"/>
              </w:rPr>
            </w:pPr>
            <w:r w:rsidRPr="00B70A2C">
              <w:rPr>
                <w:rFonts w:ascii="Times New Roman" w:hAnsi="Times New Roman" w:cs="Times New Roman"/>
              </w:rPr>
              <w:t>21</w:t>
            </w:r>
          </w:p>
        </w:tc>
        <w:tc>
          <w:tcPr>
            <w:tcW w:w="510" w:type="pct"/>
            <w:tcBorders>
              <w:top w:val="nil"/>
              <w:left w:val="nil"/>
              <w:bottom w:val="nil"/>
              <w:right w:val="nil"/>
            </w:tcBorders>
          </w:tcPr>
          <w:p w14:paraId="23502577" w14:textId="7638DA69"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r>
      <w:tr w:rsidR="008D3281" w:rsidRPr="00B70A2C" w14:paraId="2E7CFBF9" w14:textId="77777777" w:rsidTr="00B70A2C">
        <w:trPr>
          <w:trHeight w:val="227"/>
        </w:trPr>
        <w:tc>
          <w:tcPr>
            <w:tcW w:w="925" w:type="pct"/>
            <w:tcBorders>
              <w:top w:val="nil"/>
              <w:left w:val="nil"/>
              <w:bottom w:val="nil"/>
              <w:right w:val="nil"/>
            </w:tcBorders>
          </w:tcPr>
          <w:p w14:paraId="7DBBC5C7" w14:textId="6A6680E4" w:rsidR="00504F50" w:rsidRPr="00B70A2C" w:rsidRDefault="00504F50" w:rsidP="00E47245">
            <w:pPr>
              <w:widowControl w:val="0"/>
              <w:autoSpaceDE w:val="0"/>
              <w:autoSpaceDN w:val="0"/>
              <w:adjustRightInd w:val="0"/>
              <w:spacing w:after="0" w:line="240" w:lineRule="auto"/>
              <w:rPr>
                <w:rFonts w:ascii="Times New Roman" w:hAnsi="Times New Roman" w:cs="Times New Roman"/>
              </w:rPr>
            </w:pPr>
            <w:r w:rsidRPr="00B70A2C">
              <w:rPr>
                <w:rFonts w:ascii="Times New Roman" w:hAnsi="Times New Roman" w:cs="Times New Roman"/>
              </w:rPr>
              <w:t>Government</w:t>
            </w:r>
            <w:r w:rsidR="008D3281" w:rsidRPr="00B70A2C">
              <w:rPr>
                <w:rFonts w:ascii="Times New Roman" w:hAnsi="Times New Roman" w:cs="Times New Roman"/>
              </w:rPr>
              <w:t xml:space="preserve"> (%)</w:t>
            </w:r>
          </w:p>
        </w:tc>
        <w:tc>
          <w:tcPr>
            <w:tcW w:w="789" w:type="pct"/>
            <w:tcBorders>
              <w:top w:val="nil"/>
              <w:left w:val="nil"/>
              <w:bottom w:val="nil"/>
              <w:right w:val="nil"/>
            </w:tcBorders>
          </w:tcPr>
          <w:p w14:paraId="279F4E71" w14:textId="77777777" w:rsidR="00504F50" w:rsidRPr="00B70A2C" w:rsidRDefault="00504F50" w:rsidP="00E47245">
            <w:pPr>
              <w:widowControl w:val="0"/>
              <w:autoSpaceDE w:val="0"/>
              <w:autoSpaceDN w:val="0"/>
              <w:adjustRightInd w:val="0"/>
              <w:spacing w:line="240" w:lineRule="auto"/>
              <w:rPr>
                <w:rFonts w:ascii="Times New Roman" w:hAnsi="Times New Roman" w:cs="Times New Roman"/>
              </w:rPr>
            </w:pPr>
          </w:p>
        </w:tc>
        <w:tc>
          <w:tcPr>
            <w:tcW w:w="354" w:type="pct"/>
            <w:tcBorders>
              <w:top w:val="nil"/>
              <w:left w:val="nil"/>
              <w:bottom w:val="nil"/>
              <w:right w:val="nil"/>
            </w:tcBorders>
          </w:tcPr>
          <w:p w14:paraId="7FAE1D15" w14:textId="53319B4A" w:rsidR="00504F50" w:rsidRPr="00B70A2C" w:rsidRDefault="008D3281" w:rsidP="00B70A2C">
            <w:pPr>
              <w:jc w:val="right"/>
              <w:rPr>
                <w:rFonts w:ascii="Times New Roman" w:hAnsi="Times New Roman" w:cs="Times New Roman"/>
              </w:rPr>
            </w:pPr>
            <w:r w:rsidRPr="00B70A2C">
              <w:rPr>
                <w:rFonts w:ascii="Times New Roman" w:hAnsi="Times New Roman" w:cs="Times New Roman"/>
              </w:rPr>
              <w:t>31</w:t>
            </w:r>
          </w:p>
        </w:tc>
        <w:tc>
          <w:tcPr>
            <w:tcW w:w="355" w:type="pct"/>
            <w:tcBorders>
              <w:top w:val="nil"/>
              <w:left w:val="nil"/>
              <w:bottom w:val="nil"/>
              <w:right w:val="nil"/>
            </w:tcBorders>
          </w:tcPr>
          <w:p w14:paraId="647B6C28" w14:textId="18B1C108"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582F51A0" w14:textId="77777777" w:rsidR="00504F50" w:rsidRPr="00B70A2C" w:rsidRDefault="00504F50" w:rsidP="00B70A2C">
            <w:pPr>
              <w:jc w:val="right"/>
              <w:rPr>
                <w:rFonts w:ascii="Times New Roman" w:hAnsi="Times New Roman" w:cs="Times New Roman"/>
              </w:rPr>
            </w:pPr>
          </w:p>
        </w:tc>
        <w:tc>
          <w:tcPr>
            <w:tcW w:w="313" w:type="pct"/>
            <w:tcBorders>
              <w:top w:val="nil"/>
              <w:left w:val="nil"/>
              <w:bottom w:val="nil"/>
              <w:right w:val="nil"/>
            </w:tcBorders>
          </w:tcPr>
          <w:p w14:paraId="2591154D" w14:textId="1EE4E5BB" w:rsidR="00504F50" w:rsidRPr="00B70A2C" w:rsidRDefault="008D3281" w:rsidP="00B70A2C">
            <w:pPr>
              <w:jc w:val="right"/>
              <w:rPr>
                <w:rFonts w:ascii="Times New Roman" w:hAnsi="Times New Roman" w:cs="Times New Roman"/>
              </w:rPr>
            </w:pPr>
            <w:r w:rsidRPr="00B70A2C">
              <w:rPr>
                <w:rFonts w:ascii="Times New Roman" w:hAnsi="Times New Roman" w:cs="Times New Roman"/>
              </w:rPr>
              <w:t>43</w:t>
            </w:r>
          </w:p>
        </w:tc>
        <w:tc>
          <w:tcPr>
            <w:tcW w:w="364" w:type="pct"/>
            <w:tcBorders>
              <w:top w:val="nil"/>
              <w:left w:val="nil"/>
              <w:bottom w:val="nil"/>
              <w:right w:val="nil"/>
            </w:tcBorders>
          </w:tcPr>
          <w:p w14:paraId="49EAF30E" w14:textId="4ED1C73E"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557B2FE2"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71E8DC19" w14:textId="59F3E330" w:rsidR="00504F50" w:rsidRPr="00B70A2C" w:rsidRDefault="008D3281" w:rsidP="00B70A2C">
            <w:pPr>
              <w:jc w:val="right"/>
              <w:rPr>
                <w:rFonts w:ascii="Times New Roman" w:hAnsi="Times New Roman" w:cs="Times New Roman"/>
              </w:rPr>
            </w:pPr>
            <w:r w:rsidRPr="00B70A2C">
              <w:rPr>
                <w:rFonts w:ascii="Times New Roman" w:hAnsi="Times New Roman" w:cs="Times New Roman"/>
              </w:rPr>
              <w:t>32</w:t>
            </w:r>
          </w:p>
        </w:tc>
        <w:tc>
          <w:tcPr>
            <w:tcW w:w="360" w:type="pct"/>
            <w:tcBorders>
              <w:top w:val="nil"/>
              <w:left w:val="nil"/>
              <w:bottom w:val="nil"/>
              <w:right w:val="nil"/>
            </w:tcBorders>
          </w:tcPr>
          <w:p w14:paraId="0D50939C" w14:textId="268D578D"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673B8A22"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722F189C" w14:textId="202E9187" w:rsidR="00504F50" w:rsidRPr="00B70A2C" w:rsidRDefault="008D3281" w:rsidP="00B70A2C">
            <w:pPr>
              <w:jc w:val="right"/>
              <w:rPr>
                <w:rFonts w:ascii="Times New Roman" w:hAnsi="Times New Roman" w:cs="Times New Roman"/>
              </w:rPr>
            </w:pPr>
            <w:r w:rsidRPr="00B70A2C">
              <w:rPr>
                <w:rFonts w:ascii="Times New Roman" w:hAnsi="Times New Roman" w:cs="Times New Roman"/>
              </w:rPr>
              <w:t>30</w:t>
            </w:r>
          </w:p>
        </w:tc>
        <w:tc>
          <w:tcPr>
            <w:tcW w:w="510" w:type="pct"/>
            <w:tcBorders>
              <w:top w:val="nil"/>
              <w:left w:val="nil"/>
              <w:bottom w:val="nil"/>
              <w:right w:val="nil"/>
            </w:tcBorders>
          </w:tcPr>
          <w:p w14:paraId="13D005D8" w14:textId="4C09FB12"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r>
      <w:tr w:rsidR="00B70A2C" w:rsidRPr="00B70A2C" w14:paraId="6B3D5AAB" w14:textId="77777777" w:rsidTr="00B70A2C">
        <w:trPr>
          <w:trHeight w:val="227"/>
        </w:trPr>
        <w:tc>
          <w:tcPr>
            <w:tcW w:w="925" w:type="pct"/>
            <w:tcBorders>
              <w:top w:val="nil"/>
              <w:left w:val="nil"/>
              <w:bottom w:val="nil"/>
              <w:right w:val="nil"/>
            </w:tcBorders>
          </w:tcPr>
          <w:p w14:paraId="51D30597" w14:textId="7A3B6F61" w:rsidR="007659B3" w:rsidRPr="00B70A2C" w:rsidRDefault="007659B3" w:rsidP="007659B3">
            <w:pPr>
              <w:widowControl w:val="0"/>
              <w:autoSpaceDE w:val="0"/>
              <w:autoSpaceDN w:val="0"/>
              <w:adjustRightInd w:val="0"/>
              <w:spacing w:after="0" w:line="240" w:lineRule="auto"/>
              <w:rPr>
                <w:rFonts w:ascii="Times New Roman" w:hAnsi="Times New Roman" w:cs="Times New Roman"/>
              </w:rPr>
            </w:pPr>
            <w:r w:rsidRPr="00B70A2C">
              <w:rPr>
                <w:rFonts w:ascii="Times New Roman" w:hAnsi="Times New Roman" w:cs="Times New Roman"/>
              </w:rPr>
              <w:t>Employees</w:t>
            </w:r>
          </w:p>
        </w:tc>
        <w:tc>
          <w:tcPr>
            <w:tcW w:w="789" w:type="pct"/>
            <w:tcBorders>
              <w:top w:val="nil"/>
              <w:left w:val="nil"/>
              <w:bottom w:val="nil"/>
              <w:right w:val="nil"/>
            </w:tcBorders>
          </w:tcPr>
          <w:p w14:paraId="278A5836" w14:textId="77777777" w:rsidR="007659B3" w:rsidRPr="00B70A2C" w:rsidRDefault="007659B3" w:rsidP="007659B3">
            <w:pPr>
              <w:widowControl w:val="0"/>
              <w:autoSpaceDE w:val="0"/>
              <w:autoSpaceDN w:val="0"/>
              <w:adjustRightInd w:val="0"/>
              <w:spacing w:line="240" w:lineRule="auto"/>
              <w:rPr>
                <w:rFonts w:ascii="Times New Roman" w:hAnsi="Times New Roman" w:cs="Times New Roman"/>
              </w:rPr>
            </w:pPr>
          </w:p>
        </w:tc>
        <w:tc>
          <w:tcPr>
            <w:tcW w:w="354" w:type="pct"/>
            <w:tcBorders>
              <w:top w:val="nil"/>
              <w:left w:val="nil"/>
              <w:bottom w:val="nil"/>
              <w:right w:val="nil"/>
            </w:tcBorders>
          </w:tcPr>
          <w:p w14:paraId="40B4D502" w14:textId="41F5C800" w:rsidR="007659B3" w:rsidRPr="00B70A2C" w:rsidRDefault="007659B3" w:rsidP="00B70A2C">
            <w:pPr>
              <w:jc w:val="right"/>
              <w:rPr>
                <w:rFonts w:ascii="Times New Roman" w:hAnsi="Times New Roman" w:cs="Times New Roman"/>
              </w:rPr>
            </w:pPr>
            <w:r w:rsidRPr="00B70A2C">
              <w:rPr>
                <w:rFonts w:ascii="Times New Roman" w:hAnsi="Times New Roman" w:cs="Times New Roman"/>
              </w:rPr>
              <w:t>3.44</w:t>
            </w:r>
          </w:p>
        </w:tc>
        <w:tc>
          <w:tcPr>
            <w:tcW w:w="355" w:type="pct"/>
            <w:tcBorders>
              <w:top w:val="nil"/>
              <w:left w:val="nil"/>
              <w:bottom w:val="nil"/>
              <w:right w:val="nil"/>
            </w:tcBorders>
          </w:tcPr>
          <w:p w14:paraId="562B60B9" w14:textId="0D0681B1" w:rsidR="007659B3" w:rsidRPr="00B70A2C" w:rsidRDefault="007659B3" w:rsidP="00B70A2C">
            <w:pPr>
              <w:jc w:val="right"/>
              <w:rPr>
                <w:rFonts w:ascii="Times New Roman" w:hAnsi="Times New Roman" w:cs="Times New Roman"/>
              </w:rPr>
            </w:pPr>
            <w:r w:rsidRPr="00B70A2C">
              <w:rPr>
                <w:rFonts w:ascii="Times New Roman" w:hAnsi="Times New Roman" w:cs="Times New Roman"/>
              </w:rPr>
              <w:t>63.60</w:t>
            </w:r>
          </w:p>
        </w:tc>
        <w:tc>
          <w:tcPr>
            <w:tcW w:w="85" w:type="pct"/>
            <w:tcBorders>
              <w:top w:val="nil"/>
              <w:left w:val="nil"/>
              <w:bottom w:val="nil"/>
              <w:right w:val="nil"/>
            </w:tcBorders>
          </w:tcPr>
          <w:p w14:paraId="0C5078F4" w14:textId="77777777" w:rsidR="007659B3" w:rsidRPr="00B70A2C" w:rsidRDefault="007659B3" w:rsidP="00B70A2C">
            <w:pPr>
              <w:jc w:val="right"/>
              <w:rPr>
                <w:rFonts w:ascii="Times New Roman" w:hAnsi="Times New Roman" w:cs="Times New Roman"/>
              </w:rPr>
            </w:pPr>
          </w:p>
        </w:tc>
        <w:tc>
          <w:tcPr>
            <w:tcW w:w="313" w:type="pct"/>
            <w:tcBorders>
              <w:top w:val="nil"/>
              <w:left w:val="nil"/>
              <w:bottom w:val="nil"/>
              <w:right w:val="nil"/>
            </w:tcBorders>
          </w:tcPr>
          <w:p w14:paraId="0166C7BE" w14:textId="76EDCBCE" w:rsidR="007659B3" w:rsidRPr="00B70A2C" w:rsidRDefault="007659B3" w:rsidP="00B70A2C">
            <w:pPr>
              <w:jc w:val="right"/>
              <w:rPr>
                <w:rFonts w:ascii="Times New Roman" w:hAnsi="Times New Roman" w:cs="Times New Roman"/>
              </w:rPr>
            </w:pPr>
            <w:r w:rsidRPr="00B70A2C">
              <w:rPr>
                <w:rFonts w:ascii="Times New Roman" w:hAnsi="Times New Roman" w:cs="Times New Roman"/>
              </w:rPr>
              <w:t>0.88</w:t>
            </w:r>
          </w:p>
        </w:tc>
        <w:tc>
          <w:tcPr>
            <w:tcW w:w="364" w:type="pct"/>
            <w:tcBorders>
              <w:top w:val="nil"/>
              <w:left w:val="nil"/>
              <w:bottom w:val="nil"/>
              <w:right w:val="nil"/>
            </w:tcBorders>
          </w:tcPr>
          <w:p w14:paraId="5F09795F" w14:textId="1BB08A69" w:rsidR="007659B3" w:rsidRPr="00B70A2C" w:rsidRDefault="007659B3" w:rsidP="00B70A2C">
            <w:pPr>
              <w:jc w:val="right"/>
              <w:rPr>
                <w:rFonts w:ascii="Times New Roman" w:hAnsi="Times New Roman" w:cs="Times New Roman"/>
              </w:rPr>
            </w:pPr>
            <w:r w:rsidRPr="00B70A2C">
              <w:rPr>
                <w:rFonts w:ascii="Times New Roman" w:hAnsi="Times New Roman" w:cs="Times New Roman"/>
              </w:rPr>
              <w:t>6.34</w:t>
            </w:r>
          </w:p>
        </w:tc>
        <w:tc>
          <w:tcPr>
            <w:tcW w:w="85" w:type="pct"/>
            <w:tcBorders>
              <w:top w:val="nil"/>
              <w:left w:val="nil"/>
              <w:bottom w:val="nil"/>
              <w:right w:val="nil"/>
            </w:tcBorders>
          </w:tcPr>
          <w:p w14:paraId="098217F2" w14:textId="77777777" w:rsidR="007659B3" w:rsidRPr="00B70A2C" w:rsidRDefault="007659B3"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5EDD431A" w14:textId="281097D1" w:rsidR="007659B3" w:rsidRPr="00B70A2C" w:rsidRDefault="007659B3" w:rsidP="00B70A2C">
            <w:pPr>
              <w:jc w:val="right"/>
              <w:rPr>
                <w:rFonts w:ascii="Times New Roman" w:hAnsi="Times New Roman" w:cs="Times New Roman"/>
              </w:rPr>
            </w:pPr>
            <w:r w:rsidRPr="00B70A2C">
              <w:rPr>
                <w:rFonts w:ascii="Times New Roman" w:hAnsi="Times New Roman" w:cs="Times New Roman"/>
              </w:rPr>
              <w:t>3.83</w:t>
            </w:r>
          </w:p>
        </w:tc>
        <w:tc>
          <w:tcPr>
            <w:tcW w:w="360" w:type="pct"/>
            <w:tcBorders>
              <w:top w:val="nil"/>
              <w:left w:val="nil"/>
              <w:bottom w:val="nil"/>
              <w:right w:val="nil"/>
            </w:tcBorders>
          </w:tcPr>
          <w:p w14:paraId="69643261" w14:textId="1F9CF0F7" w:rsidR="007659B3" w:rsidRPr="00B70A2C" w:rsidRDefault="007659B3" w:rsidP="00B70A2C">
            <w:pPr>
              <w:jc w:val="right"/>
              <w:rPr>
                <w:rFonts w:ascii="Times New Roman" w:hAnsi="Times New Roman" w:cs="Times New Roman"/>
              </w:rPr>
            </w:pPr>
            <w:r w:rsidRPr="00B70A2C">
              <w:rPr>
                <w:rFonts w:ascii="Times New Roman" w:hAnsi="Times New Roman" w:cs="Times New Roman"/>
              </w:rPr>
              <w:t>99.69</w:t>
            </w:r>
          </w:p>
        </w:tc>
        <w:tc>
          <w:tcPr>
            <w:tcW w:w="85" w:type="pct"/>
            <w:tcBorders>
              <w:top w:val="nil"/>
              <w:left w:val="nil"/>
              <w:bottom w:val="nil"/>
              <w:right w:val="nil"/>
            </w:tcBorders>
          </w:tcPr>
          <w:p w14:paraId="43EDAFB2" w14:textId="77777777" w:rsidR="007659B3" w:rsidRPr="00B70A2C" w:rsidRDefault="007659B3"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107A0E31" w14:textId="72056244" w:rsidR="007659B3" w:rsidRPr="00B70A2C" w:rsidRDefault="007659B3" w:rsidP="00B70A2C">
            <w:pPr>
              <w:jc w:val="right"/>
              <w:rPr>
                <w:rFonts w:ascii="Times New Roman" w:hAnsi="Times New Roman" w:cs="Times New Roman"/>
              </w:rPr>
            </w:pPr>
            <w:r w:rsidRPr="00B70A2C">
              <w:rPr>
                <w:rFonts w:ascii="Times New Roman" w:hAnsi="Times New Roman" w:cs="Times New Roman"/>
              </w:rPr>
              <w:t>0.85</w:t>
            </w:r>
          </w:p>
        </w:tc>
        <w:tc>
          <w:tcPr>
            <w:tcW w:w="510" w:type="pct"/>
            <w:tcBorders>
              <w:top w:val="nil"/>
              <w:left w:val="nil"/>
              <w:bottom w:val="nil"/>
              <w:right w:val="nil"/>
            </w:tcBorders>
          </w:tcPr>
          <w:p w14:paraId="357F2F10" w14:textId="5397B3FA" w:rsidR="007659B3" w:rsidRPr="00B70A2C" w:rsidRDefault="007659B3" w:rsidP="00B70A2C">
            <w:pPr>
              <w:jc w:val="right"/>
              <w:rPr>
                <w:rFonts w:ascii="Times New Roman" w:hAnsi="Times New Roman" w:cs="Times New Roman"/>
              </w:rPr>
            </w:pPr>
            <w:r w:rsidRPr="00B70A2C">
              <w:rPr>
                <w:rFonts w:ascii="Times New Roman" w:hAnsi="Times New Roman" w:cs="Times New Roman"/>
              </w:rPr>
              <w:t>4.04</w:t>
            </w:r>
          </w:p>
        </w:tc>
      </w:tr>
      <w:tr w:rsidR="00B70A2C" w:rsidRPr="00B70A2C" w14:paraId="2DE543FD" w14:textId="77777777" w:rsidTr="00B70A2C">
        <w:trPr>
          <w:trHeight w:val="227"/>
        </w:trPr>
        <w:tc>
          <w:tcPr>
            <w:tcW w:w="925" w:type="pct"/>
            <w:tcBorders>
              <w:top w:val="nil"/>
              <w:left w:val="nil"/>
              <w:right w:val="nil"/>
            </w:tcBorders>
          </w:tcPr>
          <w:p w14:paraId="2BCC3481" w14:textId="4DC94B13" w:rsidR="007659B3" w:rsidRPr="00B70A2C" w:rsidRDefault="007659B3" w:rsidP="007659B3">
            <w:pPr>
              <w:widowControl w:val="0"/>
              <w:autoSpaceDE w:val="0"/>
              <w:autoSpaceDN w:val="0"/>
              <w:adjustRightInd w:val="0"/>
              <w:spacing w:after="0" w:line="240" w:lineRule="auto"/>
              <w:rPr>
                <w:rFonts w:ascii="Times New Roman" w:hAnsi="Times New Roman" w:cs="Times New Roman"/>
              </w:rPr>
            </w:pPr>
            <w:r w:rsidRPr="00B70A2C">
              <w:rPr>
                <w:rFonts w:ascii="Times New Roman" w:hAnsi="Times New Roman" w:cs="Times New Roman"/>
              </w:rPr>
              <w:t>Volunteers</w:t>
            </w:r>
          </w:p>
        </w:tc>
        <w:tc>
          <w:tcPr>
            <w:tcW w:w="789" w:type="pct"/>
            <w:tcBorders>
              <w:top w:val="nil"/>
              <w:left w:val="nil"/>
              <w:right w:val="nil"/>
            </w:tcBorders>
          </w:tcPr>
          <w:p w14:paraId="5406FF5F" w14:textId="77777777" w:rsidR="007659B3" w:rsidRPr="00B70A2C" w:rsidRDefault="007659B3" w:rsidP="007659B3">
            <w:pPr>
              <w:widowControl w:val="0"/>
              <w:autoSpaceDE w:val="0"/>
              <w:autoSpaceDN w:val="0"/>
              <w:adjustRightInd w:val="0"/>
              <w:spacing w:line="240" w:lineRule="auto"/>
              <w:rPr>
                <w:rFonts w:ascii="Times New Roman" w:hAnsi="Times New Roman" w:cs="Times New Roman"/>
              </w:rPr>
            </w:pPr>
          </w:p>
        </w:tc>
        <w:tc>
          <w:tcPr>
            <w:tcW w:w="354" w:type="pct"/>
            <w:tcBorders>
              <w:top w:val="nil"/>
              <w:left w:val="nil"/>
              <w:right w:val="nil"/>
            </w:tcBorders>
          </w:tcPr>
          <w:p w14:paraId="1E986287" w14:textId="6D8EDE44" w:rsidR="007659B3" w:rsidRPr="00B70A2C" w:rsidRDefault="007659B3" w:rsidP="00B70A2C">
            <w:pPr>
              <w:jc w:val="right"/>
              <w:rPr>
                <w:rFonts w:ascii="Times New Roman" w:hAnsi="Times New Roman" w:cs="Times New Roman"/>
              </w:rPr>
            </w:pPr>
            <w:r w:rsidRPr="00B70A2C">
              <w:rPr>
                <w:rFonts w:ascii="Times New Roman" w:hAnsi="Times New Roman" w:cs="Times New Roman"/>
              </w:rPr>
              <w:t>10.10</w:t>
            </w:r>
          </w:p>
        </w:tc>
        <w:tc>
          <w:tcPr>
            <w:tcW w:w="355" w:type="pct"/>
            <w:tcBorders>
              <w:top w:val="nil"/>
              <w:left w:val="nil"/>
              <w:right w:val="nil"/>
            </w:tcBorders>
          </w:tcPr>
          <w:p w14:paraId="4F5B04B3" w14:textId="1CF1C7B3" w:rsidR="007659B3" w:rsidRPr="00B70A2C" w:rsidRDefault="007659B3" w:rsidP="00B70A2C">
            <w:pPr>
              <w:jc w:val="right"/>
              <w:rPr>
                <w:rFonts w:ascii="Times New Roman" w:hAnsi="Times New Roman" w:cs="Times New Roman"/>
              </w:rPr>
            </w:pPr>
            <w:r w:rsidRPr="00B70A2C">
              <w:rPr>
                <w:rFonts w:ascii="Times New Roman" w:hAnsi="Times New Roman" w:cs="Times New Roman"/>
              </w:rPr>
              <w:t>87.70</w:t>
            </w:r>
          </w:p>
        </w:tc>
        <w:tc>
          <w:tcPr>
            <w:tcW w:w="85" w:type="pct"/>
            <w:tcBorders>
              <w:top w:val="nil"/>
              <w:left w:val="nil"/>
              <w:right w:val="nil"/>
            </w:tcBorders>
          </w:tcPr>
          <w:p w14:paraId="69E06508" w14:textId="77777777" w:rsidR="007659B3" w:rsidRPr="00B70A2C" w:rsidRDefault="007659B3" w:rsidP="00B70A2C">
            <w:pPr>
              <w:jc w:val="right"/>
              <w:rPr>
                <w:rFonts w:ascii="Times New Roman" w:hAnsi="Times New Roman" w:cs="Times New Roman"/>
              </w:rPr>
            </w:pPr>
          </w:p>
        </w:tc>
        <w:tc>
          <w:tcPr>
            <w:tcW w:w="313" w:type="pct"/>
            <w:tcBorders>
              <w:top w:val="nil"/>
              <w:left w:val="nil"/>
              <w:right w:val="nil"/>
            </w:tcBorders>
          </w:tcPr>
          <w:p w14:paraId="2B7FB66E" w14:textId="5C0A8501" w:rsidR="007659B3" w:rsidRPr="00B70A2C" w:rsidRDefault="007659B3" w:rsidP="00B70A2C">
            <w:pPr>
              <w:jc w:val="right"/>
              <w:rPr>
                <w:rFonts w:ascii="Times New Roman" w:hAnsi="Times New Roman" w:cs="Times New Roman"/>
              </w:rPr>
            </w:pPr>
            <w:r w:rsidRPr="00B70A2C">
              <w:rPr>
                <w:rFonts w:ascii="Times New Roman" w:hAnsi="Times New Roman" w:cs="Times New Roman"/>
              </w:rPr>
              <w:t>7.13</w:t>
            </w:r>
          </w:p>
        </w:tc>
        <w:tc>
          <w:tcPr>
            <w:tcW w:w="364" w:type="pct"/>
            <w:tcBorders>
              <w:top w:val="nil"/>
              <w:left w:val="nil"/>
              <w:right w:val="nil"/>
            </w:tcBorders>
          </w:tcPr>
          <w:p w14:paraId="5D866869" w14:textId="1A9D67FC" w:rsidR="007659B3" w:rsidRPr="00B70A2C" w:rsidRDefault="007659B3" w:rsidP="00B70A2C">
            <w:pPr>
              <w:jc w:val="right"/>
              <w:rPr>
                <w:rFonts w:ascii="Times New Roman" w:hAnsi="Times New Roman" w:cs="Times New Roman"/>
              </w:rPr>
            </w:pPr>
            <w:r w:rsidRPr="00B70A2C">
              <w:rPr>
                <w:rFonts w:ascii="Times New Roman" w:hAnsi="Times New Roman" w:cs="Times New Roman"/>
              </w:rPr>
              <w:t>44.12</w:t>
            </w:r>
          </w:p>
        </w:tc>
        <w:tc>
          <w:tcPr>
            <w:tcW w:w="85" w:type="pct"/>
            <w:tcBorders>
              <w:top w:val="nil"/>
              <w:left w:val="nil"/>
              <w:right w:val="nil"/>
            </w:tcBorders>
          </w:tcPr>
          <w:p w14:paraId="086064CE" w14:textId="77777777" w:rsidR="007659B3" w:rsidRPr="00B70A2C" w:rsidRDefault="007659B3"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right w:val="nil"/>
            </w:tcBorders>
          </w:tcPr>
          <w:p w14:paraId="7507F272" w14:textId="5A511AA0" w:rsidR="007659B3" w:rsidRPr="00B70A2C" w:rsidRDefault="007659B3" w:rsidP="00B70A2C">
            <w:pPr>
              <w:jc w:val="right"/>
              <w:rPr>
                <w:rFonts w:ascii="Times New Roman" w:hAnsi="Times New Roman" w:cs="Times New Roman"/>
              </w:rPr>
            </w:pPr>
            <w:r w:rsidRPr="00B70A2C">
              <w:rPr>
                <w:rFonts w:ascii="Times New Roman" w:hAnsi="Times New Roman" w:cs="Times New Roman"/>
              </w:rPr>
              <w:t>6.53</w:t>
            </w:r>
          </w:p>
        </w:tc>
        <w:tc>
          <w:tcPr>
            <w:tcW w:w="360" w:type="pct"/>
            <w:tcBorders>
              <w:top w:val="nil"/>
              <w:left w:val="nil"/>
              <w:right w:val="nil"/>
            </w:tcBorders>
          </w:tcPr>
          <w:p w14:paraId="4CED07C8" w14:textId="74774836" w:rsidR="007659B3" w:rsidRPr="00B70A2C" w:rsidRDefault="007659B3" w:rsidP="00B70A2C">
            <w:pPr>
              <w:jc w:val="right"/>
              <w:rPr>
                <w:rFonts w:ascii="Times New Roman" w:hAnsi="Times New Roman" w:cs="Times New Roman"/>
              </w:rPr>
            </w:pPr>
            <w:r w:rsidRPr="00B70A2C">
              <w:rPr>
                <w:rFonts w:ascii="Times New Roman" w:hAnsi="Times New Roman" w:cs="Times New Roman"/>
              </w:rPr>
              <w:t>16.07</w:t>
            </w:r>
          </w:p>
        </w:tc>
        <w:tc>
          <w:tcPr>
            <w:tcW w:w="85" w:type="pct"/>
            <w:tcBorders>
              <w:top w:val="nil"/>
              <w:left w:val="nil"/>
              <w:right w:val="nil"/>
            </w:tcBorders>
          </w:tcPr>
          <w:p w14:paraId="3C5073F9" w14:textId="77777777" w:rsidR="007659B3" w:rsidRPr="00B70A2C" w:rsidRDefault="007659B3"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right w:val="nil"/>
            </w:tcBorders>
          </w:tcPr>
          <w:p w14:paraId="757DFC02" w14:textId="54E3BA58" w:rsidR="007659B3" w:rsidRPr="00B70A2C" w:rsidRDefault="007659B3" w:rsidP="00B70A2C">
            <w:pPr>
              <w:jc w:val="right"/>
              <w:rPr>
                <w:rFonts w:ascii="Times New Roman" w:hAnsi="Times New Roman" w:cs="Times New Roman"/>
              </w:rPr>
            </w:pPr>
            <w:r w:rsidRPr="00B70A2C">
              <w:rPr>
                <w:rFonts w:ascii="Times New Roman" w:hAnsi="Times New Roman" w:cs="Times New Roman"/>
              </w:rPr>
              <w:t>4.71</w:t>
            </w:r>
          </w:p>
        </w:tc>
        <w:tc>
          <w:tcPr>
            <w:tcW w:w="510" w:type="pct"/>
            <w:tcBorders>
              <w:top w:val="nil"/>
              <w:left w:val="nil"/>
              <w:right w:val="nil"/>
            </w:tcBorders>
          </w:tcPr>
          <w:p w14:paraId="7D39CFC9" w14:textId="3F709ECE" w:rsidR="007659B3" w:rsidRPr="00B70A2C" w:rsidRDefault="007659B3" w:rsidP="00B70A2C">
            <w:pPr>
              <w:jc w:val="right"/>
              <w:rPr>
                <w:rFonts w:ascii="Times New Roman" w:hAnsi="Times New Roman" w:cs="Times New Roman"/>
              </w:rPr>
            </w:pPr>
            <w:r w:rsidRPr="00B70A2C">
              <w:rPr>
                <w:rFonts w:ascii="Times New Roman" w:hAnsi="Times New Roman" w:cs="Times New Roman"/>
              </w:rPr>
              <w:t>18.85</w:t>
            </w:r>
          </w:p>
        </w:tc>
      </w:tr>
      <w:tr w:rsidR="00B70A2C" w:rsidRPr="00B70A2C" w14:paraId="6DFCBF2F" w14:textId="77777777" w:rsidTr="00B70A2C">
        <w:trPr>
          <w:trHeight w:val="227"/>
        </w:trPr>
        <w:tc>
          <w:tcPr>
            <w:tcW w:w="925" w:type="pct"/>
            <w:tcBorders>
              <w:top w:val="nil"/>
              <w:left w:val="nil"/>
              <w:bottom w:val="nil"/>
              <w:right w:val="nil"/>
            </w:tcBorders>
          </w:tcPr>
          <w:p w14:paraId="4F6DFF06" w14:textId="36878DE3" w:rsidR="007659B3" w:rsidRPr="00B70A2C" w:rsidRDefault="007659B3" w:rsidP="007659B3">
            <w:pPr>
              <w:widowControl w:val="0"/>
              <w:autoSpaceDE w:val="0"/>
              <w:autoSpaceDN w:val="0"/>
              <w:adjustRightInd w:val="0"/>
              <w:spacing w:after="0" w:line="240" w:lineRule="auto"/>
              <w:rPr>
                <w:rFonts w:ascii="Times New Roman" w:hAnsi="Times New Roman" w:cs="Times New Roman"/>
              </w:rPr>
            </w:pPr>
            <w:r w:rsidRPr="00B70A2C">
              <w:rPr>
                <w:rFonts w:ascii="Times New Roman" w:hAnsi="Times New Roman" w:cs="Times New Roman"/>
              </w:rPr>
              <w:t>Trustees</w:t>
            </w:r>
          </w:p>
        </w:tc>
        <w:tc>
          <w:tcPr>
            <w:tcW w:w="789" w:type="pct"/>
            <w:tcBorders>
              <w:top w:val="nil"/>
              <w:left w:val="nil"/>
              <w:bottom w:val="nil"/>
              <w:right w:val="nil"/>
            </w:tcBorders>
          </w:tcPr>
          <w:p w14:paraId="49DD7946" w14:textId="77777777" w:rsidR="007659B3" w:rsidRPr="00B70A2C" w:rsidRDefault="007659B3" w:rsidP="007659B3">
            <w:pPr>
              <w:widowControl w:val="0"/>
              <w:autoSpaceDE w:val="0"/>
              <w:autoSpaceDN w:val="0"/>
              <w:adjustRightInd w:val="0"/>
              <w:spacing w:line="240" w:lineRule="auto"/>
              <w:rPr>
                <w:rFonts w:ascii="Times New Roman" w:hAnsi="Times New Roman" w:cs="Times New Roman"/>
              </w:rPr>
            </w:pPr>
          </w:p>
        </w:tc>
        <w:tc>
          <w:tcPr>
            <w:tcW w:w="354" w:type="pct"/>
            <w:tcBorders>
              <w:top w:val="nil"/>
              <w:left w:val="nil"/>
              <w:bottom w:val="nil"/>
              <w:right w:val="nil"/>
            </w:tcBorders>
          </w:tcPr>
          <w:p w14:paraId="016979F4" w14:textId="7B7C477E" w:rsidR="007659B3" w:rsidRPr="00B70A2C" w:rsidRDefault="007659B3" w:rsidP="00B70A2C">
            <w:pPr>
              <w:jc w:val="right"/>
              <w:rPr>
                <w:rFonts w:ascii="Times New Roman" w:hAnsi="Times New Roman" w:cs="Times New Roman"/>
              </w:rPr>
            </w:pPr>
            <w:r w:rsidRPr="00B70A2C">
              <w:rPr>
                <w:rFonts w:ascii="Times New Roman" w:hAnsi="Times New Roman" w:cs="Times New Roman"/>
              </w:rPr>
              <w:t>12.02</w:t>
            </w:r>
          </w:p>
        </w:tc>
        <w:tc>
          <w:tcPr>
            <w:tcW w:w="355" w:type="pct"/>
            <w:tcBorders>
              <w:top w:val="nil"/>
              <w:left w:val="nil"/>
              <w:bottom w:val="nil"/>
              <w:right w:val="nil"/>
            </w:tcBorders>
          </w:tcPr>
          <w:p w14:paraId="594D2D86" w14:textId="69CF9466" w:rsidR="007659B3" w:rsidRPr="00B70A2C" w:rsidRDefault="007659B3" w:rsidP="00B70A2C">
            <w:pPr>
              <w:jc w:val="right"/>
              <w:rPr>
                <w:rFonts w:ascii="Times New Roman" w:hAnsi="Times New Roman" w:cs="Times New Roman"/>
              </w:rPr>
            </w:pPr>
            <w:r w:rsidRPr="00B70A2C">
              <w:rPr>
                <w:rFonts w:ascii="Times New Roman" w:hAnsi="Times New Roman" w:cs="Times New Roman"/>
              </w:rPr>
              <w:t>10.11</w:t>
            </w:r>
          </w:p>
        </w:tc>
        <w:tc>
          <w:tcPr>
            <w:tcW w:w="85" w:type="pct"/>
            <w:tcBorders>
              <w:top w:val="nil"/>
              <w:left w:val="nil"/>
              <w:bottom w:val="nil"/>
              <w:right w:val="nil"/>
            </w:tcBorders>
          </w:tcPr>
          <w:p w14:paraId="2E4FFD17" w14:textId="77777777" w:rsidR="007659B3" w:rsidRPr="00B70A2C" w:rsidRDefault="007659B3" w:rsidP="00B70A2C">
            <w:pPr>
              <w:jc w:val="right"/>
              <w:rPr>
                <w:rFonts w:ascii="Times New Roman" w:hAnsi="Times New Roman" w:cs="Times New Roman"/>
              </w:rPr>
            </w:pPr>
          </w:p>
        </w:tc>
        <w:tc>
          <w:tcPr>
            <w:tcW w:w="313" w:type="pct"/>
            <w:tcBorders>
              <w:top w:val="nil"/>
              <w:left w:val="nil"/>
              <w:bottom w:val="nil"/>
              <w:right w:val="nil"/>
            </w:tcBorders>
          </w:tcPr>
          <w:p w14:paraId="50824214" w14:textId="19F05B46" w:rsidR="007659B3" w:rsidRPr="00B70A2C" w:rsidRDefault="007659B3" w:rsidP="00B70A2C">
            <w:pPr>
              <w:jc w:val="right"/>
              <w:rPr>
                <w:rFonts w:ascii="Times New Roman" w:hAnsi="Times New Roman" w:cs="Times New Roman"/>
              </w:rPr>
            </w:pPr>
            <w:r w:rsidRPr="00B70A2C">
              <w:rPr>
                <w:rFonts w:ascii="Times New Roman" w:hAnsi="Times New Roman" w:cs="Times New Roman"/>
              </w:rPr>
              <w:t>6.69</w:t>
            </w:r>
          </w:p>
        </w:tc>
        <w:tc>
          <w:tcPr>
            <w:tcW w:w="364" w:type="pct"/>
            <w:tcBorders>
              <w:top w:val="nil"/>
              <w:left w:val="nil"/>
              <w:bottom w:val="nil"/>
              <w:right w:val="nil"/>
            </w:tcBorders>
          </w:tcPr>
          <w:p w14:paraId="302DD654" w14:textId="34EA46CD" w:rsidR="007659B3" w:rsidRPr="00B70A2C" w:rsidRDefault="007659B3" w:rsidP="00B70A2C">
            <w:pPr>
              <w:jc w:val="right"/>
              <w:rPr>
                <w:rFonts w:ascii="Times New Roman" w:hAnsi="Times New Roman" w:cs="Times New Roman"/>
              </w:rPr>
            </w:pPr>
            <w:r w:rsidRPr="00B70A2C">
              <w:rPr>
                <w:rFonts w:ascii="Times New Roman" w:hAnsi="Times New Roman" w:cs="Times New Roman"/>
              </w:rPr>
              <w:t>4.96</w:t>
            </w:r>
          </w:p>
        </w:tc>
        <w:tc>
          <w:tcPr>
            <w:tcW w:w="85" w:type="pct"/>
            <w:tcBorders>
              <w:top w:val="nil"/>
              <w:left w:val="nil"/>
              <w:bottom w:val="nil"/>
              <w:right w:val="nil"/>
            </w:tcBorders>
          </w:tcPr>
          <w:p w14:paraId="69841EEB" w14:textId="77777777" w:rsidR="007659B3" w:rsidRPr="00B70A2C" w:rsidRDefault="007659B3"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0CA30560" w14:textId="7E557FC5" w:rsidR="007659B3" w:rsidRPr="00B70A2C" w:rsidRDefault="007659B3" w:rsidP="00B70A2C">
            <w:pPr>
              <w:jc w:val="right"/>
              <w:rPr>
                <w:rFonts w:ascii="Times New Roman" w:hAnsi="Times New Roman" w:cs="Times New Roman"/>
              </w:rPr>
            </w:pPr>
            <w:r w:rsidRPr="00B70A2C">
              <w:rPr>
                <w:rFonts w:ascii="Times New Roman" w:hAnsi="Times New Roman" w:cs="Times New Roman"/>
              </w:rPr>
              <w:t>6.13</w:t>
            </w:r>
          </w:p>
        </w:tc>
        <w:tc>
          <w:tcPr>
            <w:tcW w:w="360" w:type="pct"/>
            <w:tcBorders>
              <w:top w:val="nil"/>
              <w:left w:val="nil"/>
              <w:bottom w:val="nil"/>
              <w:right w:val="nil"/>
            </w:tcBorders>
          </w:tcPr>
          <w:p w14:paraId="6511EBD8" w14:textId="311391B1" w:rsidR="007659B3" w:rsidRPr="00B70A2C" w:rsidRDefault="007659B3" w:rsidP="00B70A2C">
            <w:pPr>
              <w:jc w:val="right"/>
              <w:rPr>
                <w:rFonts w:ascii="Times New Roman" w:hAnsi="Times New Roman" w:cs="Times New Roman"/>
              </w:rPr>
            </w:pPr>
            <w:r w:rsidRPr="00B70A2C">
              <w:rPr>
                <w:rFonts w:ascii="Times New Roman" w:hAnsi="Times New Roman" w:cs="Times New Roman"/>
              </w:rPr>
              <w:t>5.11</w:t>
            </w:r>
          </w:p>
        </w:tc>
        <w:tc>
          <w:tcPr>
            <w:tcW w:w="85" w:type="pct"/>
            <w:tcBorders>
              <w:top w:val="nil"/>
              <w:left w:val="nil"/>
              <w:bottom w:val="nil"/>
              <w:right w:val="nil"/>
            </w:tcBorders>
          </w:tcPr>
          <w:p w14:paraId="7B91B19B" w14:textId="77777777" w:rsidR="007659B3" w:rsidRPr="00B70A2C" w:rsidRDefault="007659B3"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1F5775FB" w14:textId="3ACB37F7" w:rsidR="007659B3" w:rsidRPr="00B70A2C" w:rsidRDefault="007659B3" w:rsidP="00B70A2C">
            <w:pPr>
              <w:jc w:val="right"/>
              <w:rPr>
                <w:rFonts w:ascii="Times New Roman" w:hAnsi="Times New Roman" w:cs="Times New Roman"/>
              </w:rPr>
            </w:pPr>
            <w:r w:rsidRPr="00B70A2C">
              <w:rPr>
                <w:rFonts w:ascii="Times New Roman" w:hAnsi="Times New Roman" w:cs="Times New Roman"/>
              </w:rPr>
              <w:t>6.91</w:t>
            </w:r>
          </w:p>
        </w:tc>
        <w:tc>
          <w:tcPr>
            <w:tcW w:w="510" w:type="pct"/>
            <w:tcBorders>
              <w:top w:val="nil"/>
              <w:left w:val="nil"/>
              <w:bottom w:val="nil"/>
              <w:right w:val="nil"/>
            </w:tcBorders>
          </w:tcPr>
          <w:p w14:paraId="7955DC98" w14:textId="212EC3BE" w:rsidR="007659B3" w:rsidRPr="00B70A2C" w:rsidRDefault="007659B3" w:rsidP="00B70A2C">
            <w:pPr>
              <w:jc w:val="right"/>
              <w:rPr>
                <w:rFonts w:ascii="Times New Roman" w:hAnsi="Times New Roman" w:cs="Times New Roman"/>
              </w:rPr>
            </w:pPr>
            <w:r w:rsidRPr="00B70A2C">
              <w:rPr>
                <w:rFonts w:ascii="Times New Roman" w:hAnsi="Times New Roman" w:cs="Times New Roman"/>
              </w:rPr>
              <w:t>5.91</w:t>
            </w:r>
          </w:p>
        </w:tc>
      </w:tr>
      <w:tr w:rsidR="008D3281" w:rsidRPr="00B70A2C" w14:paraId="40BD1829" w14:textId="77777777" w:rsidTr="00B70A2C">
        <w:trPr>
          <w:trHeight w:val="227"/>
        </w:trPr>
        <w:tc>
          <w:tcPr>
            <w:tcW w:w="925" w:type="pct"/>
            <w:tcBorders>
              <w:top w:val="nil"/>
              <w:left w:val="nil"/>
              <w:right w:val="nil"/>
            </w:tcBorders>
          </w:tcPr>
          <w:p w14:paraId="56A99EFB" w14:textId="474C12C1" w:rsidR="00504F50" w:rsidRPr="00B70A2C" w:rsidRDefault="00504F50" w:rsidP="003E59E5">
            <w:pPr>
              <w:widowControl w:val="0"/>
              <w:autoSpaceDE w:val="0"/>
              <w:autoSpaceDN w:val="0"/>
              <w:adjustRightInd w:val="0"/>
              <w:spacing w:after="0" w:line="240" w:lineRule="auto"/>
              <w:rPr>
                <w:rFonts w:ascii="Times New Roman" w:hAnsi="Times New Roman" w:cs="Times New Roman"/>
              </w:rPr>
            </w:pPr>
            <w:r w:rsidRPr="00B70A2C">
              <w:rPr>
                <w:rFonts w:ascii="Times New Roman" w:hAnsi="Times New Roman" w:cs="Times New Roman"/>
              </w:rPr>
              <w:t>Area of Operation (%)</w:t>
            </w:r>
          </w:p>
        </w:tc>
        <w:tc>
          <w:tcPr>
            <w:tcW w:w="789" w:type="pct"/>
            <w:tcBorders>
              <w:top w:val="nil"/>
              <w:left w:val="nil"/>
              <w:right w:val="nil"/>
            </w:tcBorders>
          </w:tcPr>
          <w:p w14:paraId="4444E5CA" w14:textId="77777777" w:rsidR="00504F50" w:rsidRPr="00B70A2C" w:rsidRDefault="00504F50" w:rsidP="003E59E5">
            <w:pPr>
              <w:widowControl w:val="0"/>
              <w:autoSpaceDE w:val="0"/>
              <w:autoSpaceDN w:val="0"/>
              <w:adjustRightInd w:val="0"/>
              <w:spacing w:line="240" w:lineRule="auto"/>
              <w:rPr>
                <w:rFonts w:ascii="Times New Roman" w:hAnsi="Times New Roman" w:cs="Times New Roman"/>
              </w:rPr>
            </w:pPr>
          </w:p>
        </w:tc>
        <w:tc>
          <w:tcPr>
            <w:tcW w:w="354" w:type="pct"/>
            <w:tcBorders>
              <w:top w:val="nil"/>
              <w:left w:val="nil"/>
              <w:right w:val="nil"/>
            </w:tcBorders>
          </w:tcPr>
          <w:p w14:paraId="0BBE5663" w14:textId="1EF376D3" w:rsidR="00504F50" w:rsidRPr="00B70A2C" w:rsidRDefault="00504F50" w:rsidP="00B70A2C">
            <w:pPr>
              <w:jc w:val="right"/>
              <w:rPr>
                <w:rFonts w:ascii="Times New Roman" w:hAnsi="Times New Roman" w:cs="Times New Roman"/>
              </w:rPr>
            </w:pPr>
          </w:p>
        </w:tc>
        <w:tc>
          <w:tcPr>
            <w:tcW w:w="355" w:type="pct"/>
            <w:tcBorders>
              <w:top w:val="nil"/>
              <w:left w:val="nil"/>
              <w:right w:val="nil"/>
            </w:tcBorders>
          </w:tcPr>
          <w:p w14:paraId="08305D78" w14:textId="77777777" w:rsidR="00504F50" w:rsidRPr="00B70A2C" w:rsidRDefault="00504F50" w:rsidP="00B70A2C">
            <w:pPr>
              <w:jc w:val="right"/>
              <w:rPr>
                <w:rFonts w:ascii="Times New Roman" w:hAnsi="Times New Roman" w:cs="Times New Roman"/>
              </w:rPr>
            </w:pPr>
          </w:p>
        </w:tc>
        <w:tc>
          <w:tcPr>
            <w:tcW w:w="85" w:type="pct"/>
            <w:tcBorders>
              <w:top w:val="nil"/>
              <w:left w:val="nil"/>
              <w:right w:val="nil"/>
            </w:tcBorders>
          </w:tcPr>
          <w:p w14:paraId="087155C1" w14:textId="77777777" w:rsidR="00504F50" w:rsidRPr="00B70A2C" w:rsidRDefault="00504F50" w:rsidP="00B70A2C">
            <w:pPr>
              <w:jc w:val="right"/>
              <w:rPr>
                <w:rFonts w:ascii="Times New Roman" w:hAnsi="Times New Roman" w:cs="Times New Roman"/>
              </w:rPr>
            </w:pPr>
          </w:p>
        </w:tc>
        <w:tc>
          <w:tcPr>
            <w:tcW w:w="313" w:type="pct"/>
            <w:tcBorders>
              <w:top w:val="nil"/>
              <w:left w:val="nil"/>
              <w:right w:val="nil"/>
            </w:tcBorders>
          </w:tcPr>
          <w:p w14:paraId="223051B9" w14:textId="4DAD3259" w:rsidR="00504F50" w:rsidRPr="00B70A2C" w:rsidRDefault="00504F50" w:rsidP="00B70A2C">
            <w:pPr>
              <w:jc w:val="right"/>
              <w:rPr>
                <w:rFonts w:ascii="Times New Roman" w:hAnsi="Times New Roman" w:cs="Times New Roman"/>
              </w:rPr>
            </w:pPr>
          </w:p>
        </w:tc>
        <w:tc>
          <w:tcPr>
            <w:tcW w:w="364" w:type="pct"/>
            <w:tcBorders>
              <w:top w:val="nil"/>
              <w:left w:val="nil"/>
              <w:right w:val="nil"/>
            </w:tcBorders>
          </w:tcPr>
          <w:p w14:paraId="32BBE9CB" w14:textId="77777777" w:rsidR="00504F50" w:rsidRPr="00B70A2C" w:rsidRDefault="00504F50" w:rsidP="00B70A2C">
            <w:pPr>
              <w:jc w:val="right"/>
              <w:rPr>
                <w:rFonts w:ascii="Times New Roman" w:hAnsi="Times New Roman" w:cs="Times New Roman"/>
              </w:rPr>
            </w:pPr>
          </w:p>
        </w:tc>
        <w:tc>
          <w:tcPr>
            <w:tcW w:w="85" w:type="pct"/>
            <w:tcBorders>
              <w:top w:val="nil"/>
              <w:left w:val="nil"/>
              <w:right w:val="nil"/>
            </w:tcBorders>
          </w:tcPr>
          <w:p w14:paraId="6E04E470"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right w:val="nil"/>
            </w:tcBorders>
          </w:tcPr>
          <w:p w14:paraId="4CBC98C5" w14:textId="77777777" w:rsidR="00504F50" w:rsidRPr="00B70A2C" w:rsidRDefault="00504F50" w:rsidP="00B70A2C">
            <w:pPr>
              <w:jc w:val="right"/>
              <w:rPr>
                <w:rFonts w:ascii="Times New Roman" w:hAnsi="Times New Roman" w:cs="Times New Roman"/>
              </w:rPr>
            </w:pPr>
          </w:p>
        </w:tc>
        <w:tc>
          <w:tcPr>
            <w:tcW w:w="360" w:type="pct"/>
            <w:tcBorders>
              <w:top w:val="nil"/>
              <w:left w:val="nil"/>
              <w:right w:val="nil"/>
            </w:tcBorders>
          </w:tcPr>
          <w:p w14:paraId="7A3D8F9C" w14:textId="77777777" w:rsidR="00504F50" w:rsidRPr="00B70A2C" w:rsidRDefault="00504F50" w:rsidP="00B70A2C">
            <w:pPr>
              <w:jc w:val="right"/>
              <w:rPr>
                <w:rFonts w:ascii="Times New Roman" w:hAnsi="Times New Roman" w:cs="Times New Roman"/>
              </w:rPr>
            </w:pPr>
          </w:p>
        </w:tc>
        <w:tc>
          <w:tcPr>
            <w:tcW w:w="85" w:type="pct"/>
            <w:tcBorders>
              <w:top w:val="nil"/>
              <w:left w:val="nil"/>
              <w:right w:val="nil"/>
            </w:tcBorders>
          </w:tcPr>
          <w:p w14:paraId="26BB4FE8"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right w:val="nil"/>
            </w:tcBorders>
          </w:tcPr>
          <w:p w14:paraId="7AF5310C" w14:textId="77777777" w:rsidR="00504F50" w:rsidRPr="00B70A2C" w:rsidRDefault="00504F50" w:rsidP="00B70A2C">
            <w:pPr>
              <w:jc w:val="right"/>
              <w:rPr>
                <w:rFonts w:ascii="Times New Roman" w:hAnsi="Times New Roman" w:cs="Times New Roman"/>
              </w:rPr>
            </w:pPr>
          </w:p>
        </w:tc>
        <w:tc>
          <w:tcPr>
            <w:tcW w:w="510" w:type="pct"/>
            <w:tcBorders>
              <w:top w:val="nil"/>
              <w:left w:val="nil"/>
              <w:right w:val="nil"/>
            </w:tcBorders>
          </w:tcPr>
          <w:p w14:paraId="2B679B49" w14:textId="77777777" w:rsidR="00504F50" w:rsidRPr="00B70A2C" w:rsidRDefault="00504F50" w:rsidP="00B70A2C">
            <w:pPr>
              <w:jc w:val="right"/>
              <w:rPr>
                <w:rFonts w:ascii="Times New Roman" w:hAnsi="Times New Roman" w:cs="Times New Roman"/>
              </w:rPr>
            </w:pPr>
          </w:p>
        </w:tc>
      </w:tr>
      <w:tr w:rsidR="008D3281" w:rsidRPr="00B70A2C" w14:paraId="63BC596A" w14:textId="77777777" w:rsidTr="00B70A2C">
        <w:trPr>
          <w:trHeight w:val="227"/>
        </w:trPr>
        <w:tc>
          <w:tcPr>
            <w:tcW w:w="925" w:type="pct"/>
            <w:tcBorders>
              <w:left w:val="nil"/>
              <w:right w:val="nil"/>
            </w:tcBorders>
          </w:tcPr>
          <w:p w14:paraId="255900FD" w14:textId="77777777" w:rsidR="00504F50" w:rsidRPr="00B70A2C" w:rsidRDefault="00504F50" w:rsidP="003E59E5">
            <w:pPr>
              <w:widowControl w:val="0"/>
              <w:autoSpaceDE w:val="0"/>
              <w:autoSpaceDN w:val="0"/>
              <w:adjustRightInd w:val="0"/>
              <w:spacing w:after="0" w:line="240" w:lineRule="auto"/>
              <w:rPr>
                <w:rFonts w:ascii="Times New Roman" w:hAnsi="Times New Roman" w:cs="Times New Roman"/>
              </w:rPr>
            </w:pPr>
          </w:p>
        </w:tc>
        <w:tc>
          <w:tcPr>
            <w:tcW w:w="789" w:type="pct"/>
            <w:tcBorders>
              <w:left w:val="nil"/>
              <w:right w:val="nil"/>
            </w:tcBorders>
          </w:tcPr>
          <w:p w14:paraId="62879EE2" w14:textId="4BBF15D8" w:rsidR="00504F50" w:rsidRPr="00B70A2C" w:rsidRDefault="00504F50" w:rsidP="003E59E5">
            <w:pPr>
              <w:widowControl w:val="0"/>
              <w:autoSpaceDE w:val="0"/>
              <w:autoSpaceDN w:val="0"/>
              <w:adjustRightInd w:val="0"/>
              <w:spacing w:line="240" w:lineRule="auto"/>
              <w:rPr>
                <w:rFonts w:ascii="Times New Roman" w:hAnsi="Times New Roman" w:cs="Times New Roman"/>
              </w:rPr>
            </w:pPr>
            <w:r w:rsidRPr="00B70A2C">
              <w:rPr>
                <w:rFonts w:ascii="Times New Roman" w:hAnsi="Times New Roman" w:cs="Times New Roman"/>
              </w:rPr>
              <w:t>Local</w:t>
            </w:r>
          </w:p>
        </w:tc>
        <w:tc>
          <w:tcPr>
            <w:tcW w:w="354" w:type="pct"/>
            <w:tcBorders>
              <w:left w:val="nil"/>
              <w:right w:val="nil"/>
            </w:tcBorders>
          </w:tcPr>
          <w:p w14:paraId="73D6DB09" w14:textId="1FEBA552" w:rsidR="00504F50" w:rsidRPr="00B70A2C" w:rsidRDefault="007659B3" w:rsidP="00B70A2C">
            <w:pPr>
              <w:jc w:val="right"/>
              <w:rPr>
                <w:rFonts w:ascii="Times New Roman" w:hAnsi="Times New Roman" w:cs="Times New Roman"/>
              </w:rPr>
            </w:pPr>
            <w:r w:rsidRPr="00B70A2C">
              <w:rPr>
                <w:rFonts w:ascii="Times New Roman" w:hAnsi="Times New Roman" w:cs="Times New Roman"/>
              </w:rPr>
              <w:t>73</w:t>
            </w:r>
          </w:p>
        </w:tc>
        <w:tc>
          <w:tcPr>
            <w:tcW w:w="355" w:type="pct"/>
            <w:tcBorders>
              <w:left w:val="nil"/>
              <w:right w:val="nil"/>
            </w:tcBorders>
          </w:tcPr>
          <w:p w14:paraId="09D3DC14" w14:textId="578C3AE4" w:rsidR="00504F50" w:rsidRPr="00B70A2C" w:rsidRDefault="007659B3" w:rsidP="00B70A2C">
            <w:pPr>
              <w:jc w:val="right"/>
              <w:rPr>
                <w:rFonts w:ascii="Times New Roman" w:hAnsi="Times New Roman" w:cs="Times New Roman"/>
              </w:rPr>
            </w:pPr>
            <w:r w:rsidRPr="00B70A2C">
              <w:rPr>
                <w:rFonts w:ascii="Times New Roman" w:hAnsi="Times New Roman" w:cs="Times New Roman"/>
              </w:rPr>
              <w:t>-</w:t>
            </w:r>
          </w:p>
        </w:tc>
        <w:tc>
          <w:tcPr>
            <w:tcW w:w="85" w:type="pct"/>
            <w:tcBorders>
              <w:left w:val="nil"/>
              <w:right w:val="nil"/>
            </w:tcBorders>
          </w:tcPr>
          <w:p w14:paraId="5F006DDF" w14:textId="77777777" w:rsidR="00504F50" w:rsidRPr="00B70A2C" w:rsidRDefault="00504F50" w:rsidP="00B70A2C">
            <w:pPr>
              <w:jc w:val="right"/>
              <w:rPr>
                <w:rFonts w:ascii="Times New Roman" w:hAnsi="Times New Roman" w:cs="Times New Roman"/>
              </w:rPr>
            </w:pPr>
          </w:p>
        </w:tc>
        <w:tc>
          <w:tcPr>
            <w:tcW w:w="313" w:type="pct"/>
            <w:tcBorders>
              <w:left w:val="nil"/>
              <w:right w:val="nil"/>
            </w:tcBorders>
          </w:tcPr>
          <w:p w14:paraId="07E72E0E" w14:textId="04E7052A" w:rsidR="00504F50" w:rsidRPr="00B70A2C" w:rsidRDefault="007659B3" w:rsidP="00B70A2C">
            <w:pPr>
              <w:jc w:val="right"/>
              <w:rPr>
                <w:rFonts w:ascii="Times New Roman" w:hAnsi="Times New Roman" w:cs="Times New Roman"/>
              </w:rPr>
            </w:pPr>
            <w:r w:rsidRPr="00B70A2C">
              <w:rPr>
                <w:rFonts w:ascii="Times New Roman" w:hAnsi="Times New Roman" w:cs="Times New Roman"/>
              </w:rPr>
              <w:t>75</w:t>
            </w:r>
          </w:p>
        </w:tc>
        <w:tc>
          <w:tcPr>
            <w:tcW w:w="364" w:type="pct"/>
            <w:tcBorders>
              <w:left w:val="nil"/>
              <w:right w:val="nil"/>
            </w:tcBorders>
          </w:tcPr>
          <w:p w14:paraId="4ADE7C6B" w14:textId="6E5B3C3D" w:rsidR="00504F50" w:rsidRPr="00B70A2C" w:rsidRDefault="007659B3" w:rsidP="00B70A2C">
            <w:pPr>
              <w:jc w:val="right"/>
              <w:rPr>
                <w:rFonts w:ascii="Times New Roman" w:hAnsi="Times New Roman" w:cs="Times New Roman"/>
              </w:rPr>
            </w:pPr>
            <w:r w:rsidRPr="00B70A2C">
              <w:rPr>
                <w:rFonts w:ascii="Times New Roman" w:hAnsi="Times New Roman" w:cs="Times New Roman"/>
              </w:rPr>
              <w:t>-</w:t>
            </w:r>
          </w:p>
        </w:tc>
        <w:tc>
          <w:tcPr>
            <w:tcW w:w="85" w:type="pct"/>
            <w:tcBorders>
              <w:left w:val="nil"/>
              <w:right w:val="nil"/>
            </w:tcBorders>
          </w:tcPr>
          <w:p w14:paraId="5457EA97"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left w:val="nil"/>
              <w:right w:val="nil"/>
            </w:tcBorders>
          </w:tcPr>
          <w:p w14:paraId="4BCF74E7" w14:textId="7B0C1365" w:rsidR="00504F50" w:rsidRPr="00B70A2C" w:rsidRDefault="007659B3" w:rsidP="00B70A2C">
            <w:pPr>
              <w:jc w:val="right"/>
              <w:rPr>
                <w:rFonts w:ascii="Times New Roman" w:hAnsi="Times New Roman" w:cs="Times New Roman"/>
              </w:rPr>
            </w:pPr>
            <w:r w:rsidRPr="00B70A2C">
              <w:rPr>
                <w:rFonts w:ascii="Times New Roman" w:hAnsi="Times New Roman" w:cs="Times New Roman"/>
              </w:rPr>
              <w:t>68</w:t>
            </w:r>
          </w:p>
        </w:tc>
        <w:tc>
          <w:tcPr>
            <w:tcW w:w="360" w:type="pct"/>
            <w:tcBorders>
              <w:left w:val="nil"/>
              <w:right w:val="nil"/>
            </w:tcBorders>
          </w:tcPr>
          <w:p w14:paraId="70C497C8" w14:textId="594FE93C" w:rsidR="00504F50" w:rsidRPr="00B70A2C" w:rsidRDefault="007659B3" w:rsidP="00B70A2C">
            <w:pPr>
              <w:jc w:val="right"/>
              <w:rPr>
                <w:rFonts w:ascii="Times New Roman" w:hAnsi="Times New Roman" w:cs="Times New Roman"/>
              </w:rPr>
            </w:pPr>
            <w:r w:rsidRPr="00B70A2C">
              <w:rPr>
                <w:rFonts w:ascii="Times New Roman" w:hAnsi="Times New Roman" w:cs="Times New Roman"/>
              </w:rPr>
              <w:t>-</w:t>
            </w:r>
          </w:p>
        </w:tc>
        <w:tc>
          <w:tcPr>
            <w:tcW w:w="85" w:type="pct"/>
            <w:tcBorders>
              <w:left w:val="nil"/>
              <w:right w:val="nil"/>
            </w:tcBorders>
          </w:tcPr>
          <w:p w14:paraId="40FFDA01"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left w:val="nil"/>
              <w:right w:val="nil"/>
            </w:tcBorders>
          </w:tcPr>
          <w:p w14:paraId="325B2611" w14:textId="1791E150" w:rsidR="00504F50" w:rsidRPr="00B70A2C" w:rsidRDefault="007659B3" w:rsidP="00B70A2C">
            <w:pPr>
              <w:jc w:val="right"/>
              <w:rPr>
                <w:rFonts w:ascii="Times New Roman" w:hAnsi="Times New Roman" w:cs="Times New Roman"/>
              </w:rPr>
            </w:pPr>
            <w:r w:rsidRPr="00B70A2C">
              <w:rPr>
                <w:rFonts w:ascii="Times New Roman" w:hAnsi="Times New Roman" w:cs="Times New Roman"/>
              </w:rPr>
              <w:t>68</w:t>
            </w:r>
          </w:p>
        </w:tc>
        <w:tc>
          <w:tcPr>
            <w:tcW w:w="510" w:type="pct"/>
            <w:tcBorders>
              <w:left w:val="nil"/>
              <w:right w:val="nil"/>
            </w:tcBorders>
          </w:tcPr>
          <w:p w14:paraId="6DD01B83" w14:textId="7F52C7BA" w:rsidR="00504F50" w:rsidRPr="00B70A2C" w:rsidRDefault="007659B3" w:rsidP="00B70A2C">
            <w:pPr>
              <w:jc w:val="right"/>
              <w:rPr>
                <w:rFonts w:ascii="Times New Roman" w:hAnsi="Times New Roman" w:cs="Times New Roman"/>
              </w:rPr>
            </w:pPr>
            <w:r w:rsidRPr="00B70A2C">
              <w:rPr>
                <w:rFonts w:ascii="Times New Roman" w:hAnsi="Times New Roman" w:cs="Times New Roman"/>
              </w:rPr>
              <w:t>-</w:t>
            </w:r>
          </w:p>
        </w:tc>
      </w:tr>
      <w:tr w:rsidR="008D3281" w:rsidRPr="00B70A2C" w14:paraId="771888BA" w14:textId="77777777" w:rsidTr="00B70A2C">
        <w:trPr>
          <w:trHeight w:val="227"/>
        </w:trPr>
        <w:tc>
          <w:tcPr>
            <w:tcW w:w="925" w:type="pct"/>
            <w:tcBorders>
              <w:left w:val="nil"/>
              <w:right w:val="nil"/>
            </w:tcBorders>
          </w:tcPr>
          <w:p w14:paraId="1179550D" w14:textId="77777777" w:rsidR="00504F50" w:rsidRPr="00B70A2C" w:rsidRDefault="00504F50" w:rsidP="003E59E5">
            <w:pPr>
              <w:widowControl w:val="0"/>
              <w:autoSpaceDE w:val="0"/>
              <w:autoSpaceDN w:val="0"/>
              <w:adjustRightInd w:val="0"/>
              <w:spacing w:after="0" w:line="240" w:lineRule="auto"/>
              <w:rPr>
                <w:rFonts w:ascii="Times New Roman" w:hAnsi="Times New Roman" w:cs="Times New Roman"/>
              </w:rPr>
            </w:pPr>
          </w:p>
        </w:tc>
        <w:tc>
          <w:tcPr>
            <w:tcW w:w="789" w:type="pct"/>
            <w:tcBorders>
              <w:left w:val="nil"/>
              <w:right w:val="nil"/>
            </w:tcBorders>
          </w:tcPr>
          <w:p w14:paraId="76C09129" w14:textId="03424B60" w:rsidR="00504F50" w:rsidRPr="00B70A2C" w:rsidRDefault="00504F50" w:rsidP="003E59E5">
            <w:pPr>
              <w:widowControl w:val="0"/>
              <w:autoSpaceDE w:val="0"/>
              <w:autoSpaceDN w:val="0"/>
              <w:adjustRightInd w:val="0"/>
              <w:spacing w:line="240" w:lineRule="auto"/>
              <w:rPr>
                <w:rFonts w:ascii="Times New Roman" w:hAnsi="Times New Roman" w:cs="Times New Roman"/>
              </w:rPr>
            </w:pPr>
            <w:r w:rsidRPr="00B70A2C">
              <w:rPr>
                <w:rFonts w:ascii="Times New Roman" w:hAnsi="Times New Roman" w:cs="Times New Roman"/>
              </w:rPr>
              <w:t>National</w:t>
            </w:r>
          </w:p>
        </w:tc>
        <w:tc>
          <w:tcPr>
            <w:tcW w:w="354" w:type="pct"/>
            <w:tcBorders>
              <w:left w:val="nil"/>
              <w:right w:val="nil"/>
            </w:tcBorders>
          </w:tcPr>
          <w:p w14:paraId="09ACD31E" w14:textId="73B544CF" w:rsidR="00504F50" w:rsidRPr="00B70A2C" w:rsidRDefault="007659B3" w:rsidP="00B70A2C">
            <w:pPr>
              <w:jc w:val="right"/>
              <w:rPr>
                <w:rFonts w:ascii="Times New Roman" w:hAnsi="Times New Roman" w:cs="Times New Roman"/>
              </w:rPr>
            </w:pPr>
            <w:r w:rsidRPr="00B70A2C">
              <w:rPr>
                <w:rFonts w:ascii="Times New Roman" w:hAnsi="Times New Roman" w:cs="Times New Roman"/>
              </w:rPr>
              <w:t>22</w:t>
            </w:r>
          </w:p>
        </w:tc>
        <w:tc>
          <w:tcPr>
            <w:tcW w:w="355" w:type="pct"/>
            <w:tcBorders>
              <w:left w:val="nil"/>
              <w:right w:val="nil"/>
            </w:tcBorders>
          </w:tcPr>
          <w:p w14:paraId="0754E47C" w14:textId="11BBD23B" w:rsidR="00504F50" w:rsidRPr="00B70A2C" w:rsidRDefault="007659B3" w:rsidP="00B70A2C">
            <w:pPr>
              <w:jc w:val="right"/>
              <w:rPr>
                <w:rFonts w:ascii="Times New Roman" w:hAnsi="Times New Roman" w:cs="Times New Roman"/>
              </w:rPr>
            </w:pPr>
            <w:r w:rsidRPr="00B70A2C">
              <w:rPr>
                <w:rFonts w:ascii="Times New Roman" w:hAnsi="Times New Roman" w:cs="Times New Roman"/>
              </w:rPr>
              <w:t>-</w:t>
            </w:r>
          </w:p>
        </w:tc>
        <w:tc>
          <w:tcPr>
            <w:tcW w:w="85" w:type="pct"/>
            <w:tcBorders>
              <w:left w:val="nil"/>
              <w:right w:val="nil"/>
            </w:tcBorders>
          </w:tcPr>
          <w:p w14:paraId="149ABD98" w14:textId="77777777" w:rsidR="00504F50" w:rsidRPr="00B70A2C" w:rsidRDefault="00504F50" w:rsidP="00B70A2C">
            <w:pPr>
              <w:jc w:val="right"/>
              <w:rPr>
                <w:rFonts w:ascii="Times New Roman" w:hAnsi="Times New Roman" w:cs="Times New Roman"/>
              </w:rPr>
            </w:pPr>
          </w:p>
        </w:tc>
        <w:tc>
          <w:tcPr>
            <w:tcW w:w="313" w:type="pct"/>
            <w:tcBorders>
              <w:left w:val="nil"/>
              <w:right w:val="nil"/>
            </w:tcBorders>
          </w:tcPr>
          <w:p w14:paraId="548DCFFF" w14:textId="2BEF86C4" w:rsidR="00504F50" w:rsidRPr="00B70A2C" w:rsidRDefault="007659B3" w:rsidP="00B70A2C">
            <w:pPr>
              <w:jc w:val="right"/>
              <w:rPr>
                <w:rFonts w:ascii="Times New Roman" w:hAnsi="Times New Roman" w:cs="Times New Roman"/>
              </w:rPr>
            </w:pPr>
            <w:r w:rsidRPr="00B70A2C">
              <w:rPr>
                <w:rFonts w:ascii="Times New Roman" w:hAnsi="Times New Roman" w:cs="Times New Roman"/>
              </w:rPr>
              <w:t>20</w:t>
            </w:r>
          </w:p>
        </w:tc>
        <w:tc>
          <w:tcPr>
            <w:tcW w:w="364" w:type="pct"/>
            <w:tcBorders>
              <w:left w:val="nil"/>
              <w:right w:val="nil"/>
            </w:tcBorders>
          </w:tcPr>
          <w:p w14:paraId="5F715E73" w14:textId="176C61CB" w:rsidR="00504F50" w:rsidRPr="00B70A2C" w:rsidRDefault="007659B3" w:rsidP="00B70A2C">
            <w:pPr>
              <w:jc w:val="right"/>
              <w:rPr>
                <w:rFonts w:ascii="Times New Roman" w:hAnsi="Times New Roman" w:cs="Times New Roman"/>
              </w:rPr>
            </w:pPr>
            <w:r w:rsidRPr="00B70A2C">
              <w:rPr>
                <w:rFonts w:ascii="Times New Roman" w:hAnsi="Times New Roman" w:cs="Times New Roman"/>
              </w:rPr>
              <w:t>-</w:t>
            </w:r>
          </w:p>
        </w:tc>
        <w:tc>
          <w:tcPr>
            <w:tcW w:w="85" w:type="pct"/>
            <w:tcBorders>
              <w:left w:val="nil"/>
              <w:right w:val="nil"/>
            </w:tcBorders>
          </w:tcPr>
          <w:p w14:paraId="1B414270"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left w:val="nil"/>
              <w:right w:val="nil"/>
            </w:tcBorders>
          </w:tcPr>
          <w:p w14:paraId="319E824E" w14:textId="0304536F" w:rsidR="00504F50" w:rsidRPr="00B70A2C" w:rsidRDefault="007659B3" w:rsidP="00B70A2C">
            <w:pPr>
              <w:jc w:val="right"/>
              <w:rPr>
                <w:rFonts w:ascii="Times New Roman" w:hAnsi="Times New Roman" w:cs="Times New Roman"/>
              </w:rPr>
            </w:pPr>
            <w:r w:rsidRPr="00B70A2C">
              <w:rPr>
                <w:rFonts w:ascii="Times New Roman" w:hAnsi="Times New Roman" w:cs="Times New Roman"/>
              </w:rPr>
              <w:t>23</w:t>
            </w:r>
          </w:p>
        </w:tc>
        <w:tc>
          <w:tcPr>
            <w:tcW w:w="360" w:type="pct"/>
            <w:tcBorders>
              <w:left w:val="nil"/>
              <w:right w:val="nil"/>
            </w:tcBorders>
          </w:tcPr>
          <w:p w14:paraId="28F9A5FB" w14:textId="7AF64126" w:rsidR="00504F50" w:rsidRPr="00B70A2C" w:rsidRDefault="007659B3" w:rsidP="00B70A2C">
            <w:pPr>
              <w:jc w:val="right"/>
              <w:rPr>
                <w:rFonts w:ascii="Times New Roman" w:hAnsi="Times New Roman" w:cs="Times New Roman"/>
              </w:rPr>
            </w:pPr>
            <w:r w:rsidRPr="00B70A2C">
              <w:rPr>
                <w:rFonts w:ascii="Times New Roman" w:hAnsi="Times New Roman" w:cs="Times New Roman"/>
              </w:rPr>
              <w:t>-</w:t>
            </w:r>
          </w:p>
        </w:tc>
        <w:tc>
          <w:tcPr>
            <w:tcW w:w="85" w:type="pct"/>
            <w:tcBorders>
              <w:left w:val="nil"/>
              <w:right w:val="nil"/>
            </w:tcBorders>
          </w:tcPr>
          <w:p w14:paraId="0C615824"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left w:val="nil"/>
              <w:right w:val="nil"/>
            </w:tcBorders>
          </w:tcPr>
          <w:p w14:paraId="0D7F1B46" w14:textId="4CDE8470" w:rsidR="00504F50" w:rsidRPr="00B70A2C" w:rsidRDefault="007659B3" w:rsidP="00B70A2C">
            <w:pPr>
              <w:jc w:val="right"/>
              <w:rPr>
                <w:rFonts w:ascii="Times New Roman" w:hAnsi="Times New Roman" w:cs="Times New Roman"/>
              </w:rPr>
            </w:pPr>
            <w:r w:rsidRPr="00B70A2C">
              <w:rPr>
                <w:rFonts w:ascii="Times New Roman" w:hAnsi="Times New Roman" w:cs="Times New Roman"/>
              </w:rPr>
              <w:t>26</w:t>
            </w:r>
          </w:p>
        </w:tc>
        <w:tc>
          <w:tcPr>
            <w:tcW w:w="510" w:type="pct"/>
            <w:tcBorders>
              <w:left w:val="nil"/>
              <w:right w:val="nil"/>
            </w:tcBorders>
          </w:tcPr>
          <w:p w14:paraId="6045F6C3" w14:textId="07C329D6" w:rsidR="00504F50" w:rsidRPr="00B70A2C" w:rsidRDefault="007659B3" w:rsidP="00B70A2C">
            <w:pPr>
              <w:jc w:val="right"/>
              <w:rPr>
                <w:rFonts w:ascii="Times New Roman" w:hAnsi="Times New Roman" w:cs="Times New Roman"/>
              </w:rPr>
            </w:pPr>
            <w:r w:rsidRPr="00B70A2C">
              <w:rPr>
                <w:rFonts w:ascii="Times New Roman" w:hAnsi="Times New Roman" w:cs="Times New Roman"/>
              </w:rPr>
              <w:t>-</w:t>
            </w:r>
          </w:p>
        </w:tc>
      </w:tr>
      <w:tr w:rsidR="008D3281" w:rsidRPr="00B70A2C" w14:paraId="33375EE8" w14:textId="77777777" w:rsidTr="00B70A2C">
        <w:trPr>
          <w:trHeight w:val="227"/>
        </w:trPr>
        <w:tc>
          <w:tcPr>
            <w:tcW w:w="925" w:type="pct"/>
            <w:tcBorders>
              <w:left w:val="nil"/>
              <w:bottom w:val="single" w:sz="4" w:space="0" w:color="auto"/>
              <w:right w:val="nil"/>
            </w:tcBorders>
          </w:tcPr>
          <w:p w14:paraId="595988A7" w14:textId="77777777" w:rsidR="00504F50" w:rsidRPr="00B70A2C" w:rsidRDefault="00504F50" w:rsidP="003E59E5">
            <w:pPr>
              <w:widowControl w:val="0"/>
              <w:autoSpaceDE w:val="0"/>
              <w:autoSpaceDN w:val="0"/>
              <w:adjustRightInd w:val="0"/>
              <w:spacing w:after="0" w:line="240" w:lineRule="auto"/>
              <w:rPr>
                <w:rFonts w:ascii="Times New Roman" w:hAnsi="Times New Roman" w:cs="Times New Roman"/>
              </w:rPr>
            </w:pPr>
          </w:p>
        </w:tc>
        <w:tc>
          <w:tcPr>
            <w:tcW w:w="789" w:type="pct"/>
            <w:tcBorders>
              <w:left w:val="nil"/>
              <w:bottom w:val="single" w:sz="4" w:space="0" w:color="auto"/>
              <w:right w:val="nil"/>
            </w:tcBorders>
          </w:tcPr>
          <w:p w14:paraId="5ADC6401" w14:textId="6E40BEA6" w:rsidR="00504F50" w:rsidRPr="00B70A2C" w:rsidRDefault="00504F50" w:rsidP="003E59E5">
            <w:pPr>
              <w:widowControl w:val="0"/>
              <w:autoSpaceDE w:val="0"/>
              <w:autoSpaceDN w:val="0"/>
              <w:adjustRightInd w:val="0"/>
              <w:spacing w:line="240" w:lineRule="auto"/>
              <w:rPr>
                <w:rFonts w:ascii="Times New Roman" w:hAnsi="Times New Roman" w:cs="Times New Roman"/>
              </w:rPr>
            </w:pPr>
            <w:r w:rsidRPr="00B70A2C">
              <w:rPr>
                <w:rFonts w:ascii="Times New Roman" w:hAnsi="Times New Roman" w:cs="Times New Roman"/>
              </w:rPr>
              <w:t>International</w:t>
            </w:r>
          </w:p>
        </w:tc>
        <w:tc>
          <w:tcPr>
            <w:tcW w:w="354" w:type="pct"/>
            <w:tcBorders>
              <w:left w:val="nil"/>
              <w:bottom w:val="single" w:sz="4" w:space="0" w:color="auto"/>
              <w:right w:val="nil"/>
            </w:tcBorders>
          </w:tcPr>
          <w:p w14:paraId="1C221F55" w14:textId="09646CDE" w:rsidR="00504F50" w:rsidRPr="00B70A2C" w:rsidRDefault="007659B3" w:rsidP="00B70A2C">
            <w:pPr>
              <w:jc w:val="right"/>
              <w:rPr>
                <w:rFonts w:ascii="Times New Roman" w:hAnsi="Times New Roman" w:cs="Times New Roman"/>
              </w:rPr>
            </w:pPr>
            <w:r w:rsidRPr="00B70A2C">
              <w:rPr>
                <w:rFonts w:ascii="Times New Roman" w:hAnsi="Times New Roman" w:cs="Times New Roman"/>
              </w:rPr>
              <w:t>5</w:t>
            </w:r>
          </w:p>
        </w:tc>
        <w:tc>
          <w:tcPr>
            <w:tcW w:w="355" w:type="pct"/>
            <w:tcBorders>
              <w:left w:val="nil"/>
              <w:bottom w:val="single" w:sz="4" w:space="0" w:color="auto"/>
              <w:right w:val="nil"/>
            </w:tcBorders>
          </w:tcPr>
          <w:p w14:paraId="2698D64A" w14:textId="5556374C" w:rsidR="00504F50" w:rsidRPr="00B70A2C" w:rsidRDefault="007659B3" w:rsidP="00B70A2C">
            <w:pPr>
              <w:jc w:val="right"/>
              <w:rPr>
                <w:rFonts w:ascii="Times New Roman" w:hAnsi="Times New Roman" w:cs="Times New Roman"/>
              </w:rPr>
            </w:pPr>
            <w:r w:rsidRPr="00B70A2C">
              <w:rPr>
                <w:rFonts w:ascii="Times New Roman" w:hAnsi="Times New Roman" w:cs="Times New Roman"/>
              </w:rPr>
              <w:t>-</w:t>
            </w:r>
          </w:p>
        </w:tc>
        <w:tc>
          <w:tcPr>
            <w:tcW w:w="85" w:type="pct"/>
            <w:tcBorders>
              <w:left w:val="nil"/>
              <w:bottom w:val="single" w:sz="4" w:space="0" w:color="auto"/>
              <w:right w:val="nil"/>
            </w:tcBorders>
          </w:tcPr>
          <w:p w14:paraId="29D4EDD6" w14:textId="77777777" w:rsidR="00504F50" w:rsidRPr="00B70A2C" w:rsidRDefault="00504F50" w:rsidP="00B70A2C">
            <w:pPr>
              <w:jc w:val="right"/>
              <w:rPr>
                <w:rFonts w:ascii="Times New Roman" w:hAnsi="Times New Roman" w:cs="Times New Roman"/>
              </w:rPr>
            </w:pPr>
          </w:p>
        </w:tc>
        <w:tc>
          <w:tcPr>
            <w:tcW w:w="313" w:type="pct"/>
            <w:tcBorders>
              <w:left w:val="nil"/>
              <w:bottom w:val="single" w:sz="4" w:space="0" w:color="auto"/>
              <w:right w:val="nil"/>
            </w:tcBorders>
          </w:tcPr>
          <w:p w14:paraId="53F5656F" w14:textId="6793B337" w:rsidR="00504F50" w:rsidRPr="00B70A2C" w:rsidRDefault="007659B3" w:rsidP="00B70A2C">
            <w:pPr>
              <w:jc w:val="right"/>
              <w:rPr>
                <w:rFonts w:ascii="Times New Roman" w:hAnsi="Times New Roman" w:cs="Times New Roman"/>
              </w:rPr>
            </w:pPr>
            <w:r w:rsidRPr="00B70A2C">
              <w:rPr>
                <w:rFonts w:ascii="Times New Roman" w:hAnsi="Times New Roman" w:cs="Times New Roman"/>
              </w:rPr>
              <w:t>5</w:t>
            </w:r>
          </w:p>
        </w:tc>
        <w:tc>
          <w:tcPr>
            <w:tcW w:w="364" w:type="pct"/>
            <w:tcBorders>
              <w:left w:val="nil"/>
              <w:bottom w:val="single" w:sz="4" w:space="0" w:color="auto"/>
              <w:right w:val="nil"/>
            </w:tcBorders>
          </w:tcPr>
          <w:p w14:paraId="084142D2" w14:textId="39453B0C" w:rsidR="00504F50" w:rsidRPr="00B70A2C" w:rsidRDefault="007659B3" w:rsidP="00B70A2C">
            <w:pPr>
              <w:jc w:val="right"/>
              <w:rPr>
                <w:rFonts w:ascii="Times New Roman" w:hAnsi="Times New Roman" w:cs="Times New Roman"/>
              </w:rPr>
            </w:pPr>
            <w:r w:rsidRPr="00B70A2C">
              <w:rPr>
                <w:rFonts w:ascii="Times New Roman" w:hAnsi="Times New Roman" w:cs="Times New Roman"/>
              </w:rPr>
              <w:t>-</w:t>
            </w:r>
          </w:p>
        </w:tc>
        <w:tc>
          <w:tcPr>
            <w:tcW w:w="85" w:type="pct"/>
            <w:tcBorders>
              <w:left w:val="nil"/>
              <w:bottom w:val="single" w:sz="4" w:space="0" w:color="auto"/>
              <w:right w:val="nil"/>
            </w:tcBorders>
          </w:tcPr>
          <w:p w14:paraId="4AAD308E"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left w:val="nil"/>
              <w:bottom w:val="single" w:sz="4" w:space="0" w:color="auto"/>
              <w:right w:val="nil"/>
            </w:tcBorders>
          </w:tcPr>
          <w:p w14:paraId="712C8F40" w14:textId="2CFAEEDA" w:rsidR="00504F50" w:rsidRPr="00B70A2C" w:rsidRDefault="007659B3" w:rsidP="00B70A2C">
            <w:pPr>
              <w:jc w:val="right"/>
              <w:rPr>
                <w:rFonts w:ascii="Times New Roman" w:hAnsi="Times New Roman" w:cs="Times New Roman"/>
              </w:rPr>
            </w:pPr>
            <w:r w:rsidRPr="00B70A2C">
              <w:rPr>
                <w:rFonts w:ascii="Times New Roman" w:hAnsi="Times New Roman" w:cs="Times New Roman"/>
              </w:rPr>
              <w:t>9</w:t>
            </w:r>
          </w:p>
        </w:tc>
        <w:tc>
          <w:tcPr>
            <w:tcW w:w="360" w:type="pct"/>
            <w:tcBorders>
              <w:left w:val="nil"/>
              <w:bottom w:val="single" w:sz="4" w:space="0" w:color="auto"/>
              <w:right w:val="nil"/>
            </w:tcBorders>
          </w:tcPr>
          <w:p w14:paraId="55807805" w14:textId="3263CC86" w:rsidR="00504F50" w:rsidRPr="00B70A2C" w:rsidRDefault="007659B3" w:rsidP="00B70A2C">
            <w:pPr>
              <w:jc w:val="right"/>
              <w:rPr>
                <w:rFonts w:ascii="Times New Roman" w:hAnsi="Times New Roman" w:cs="Times New Roman"/>
              </w:rPr>
            </w:pPr>
            <w:r w:rsidRPr="00B70A2C">
              <w:rPr>
                <w:rFonts w:ascii="Times New Roman" w:hAnsi="Times New Roman" w:cs="Times New Roman"/>
              </w:rPr>
              <w:t>-</w:t>
            </w:r>
          </w:p>
        </w:tc>
        <w:tc>
          <w:tcPr>
            <w:tcW w:w="85" w:type="pct"/>
            <w:tcBorders>
              <w:left w:val="nil"/>
              <w:bottom w:val="single" w:sz="4" w:space="0" w:color="auto"/>
              <w:right w:val="nil"/>
            </w:tcBorders>
          </w:tcPr>
          <w:p w14:paraId="3C8935B4"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left w:val="nil"/>
              <w:bottom w:val="single" w:sz="4" w:space="0" w:color="auto"/>
              <w:right w:val="nil"/>
            </w:tcBorders>
          </w:tcPr>
          <w:p w14:paraId="76DE04B7" w14:textId="538A62E0" w:rsidR="00504F50" w:rsidRPr="00B70A2C" w:rsidRDefault="007659B3" w:rsidP="00B70A2C">
            <w:pPr>
              <w:jc w:val="right"/>
              <w:rPr>
                <w:rFonts w:ascii="Times New Roman" w:hAnsi="Times New Roman" w:cs="Times New Roman"/>
              </w:rPr>
            </w:pPr>
            <w:r w:rsidRPr="00B70A2C">
              <w:rPr>
                <w:rFonts w:ascii="Times New Roman" w:hAnsi="Times New Roman" w:cs="Times New Roman"/>
              </w:rPr>
              <w:t>6</w:t>
            </w:r>
          </w:p>
        </w:tc>
        <w:tc>
          <w:tcPr>
            <w:tcW w:w="510" w:type="pct"/>
            <w:tcBorders>
              <w:left w:val="nil"/>
              <w:bottom w:val="single" w:sz="4" w:space="0" w:color="auto"/>
              <w:right w:val="nil"/>
            </w:tcBorders>
          </w:tcPr>
          <w:p w14:paraId="3E67E7E0" w14:textId="1E20AAC4" w:rsidR="00504F50" w:rsidRPr="00B70A2C" w:rsidRDefault="007659B3" w:rsidP="00B70A2C">
            <w:pPr>
              <w:jc w:val="right"/>
              <w:rPr>
                <w:rFonts w:ascii="Times New Roman" w:hAnsi="Times New Roman" w:cs="Times New Roman"/>
              </w:rPr>
            </w:pPr>
            <w:r w:rsidRPr="00B70A2C">
              <w:rPr>
                <w:rFonts w:ascii="Times New Roman" w:hAnsi="Times New Roman" w:cs="Times New Roman"/>
              </w:rPr>
              <w:t>-</w:t>
            </w:r>
          </w:p>
        </w:tc>
      </w:tr>
    </w:tbl>
    <w:p w14:paraId="6F338D29" w14:textId="7E8BF2F4" w:rsidR="00586709" w:rsidRDefault="008D3281" w:rsidP="0059716A">
      <w:pPr>
        <w:spacing w:line="480" w:lineRule="auto"/>
        <w:rPr>
          <w:rFonts w:ascii="Times New Roman" w:hAnsi="Times New Roman" w:cs="Times New Roman"/>
          <w:sz w:val="24"/>
          <w:szCs w:val="24"/>
        </w:rPr>
      </w:pPr>
      <w:r>
        <w:rPr>
          <w:rFonts w:ascii="Times New Roman" w:hAnsi="Times New Roman" w:cs="Times New Roman"/>
          <w:sz w:val="24"/>
          <w:szCs w:val="24"/>
        </w:rPr>
        <w:t>Note: percentages rounded to the nearest whole number, means and standard deviations rounded to two decimal places. Column percentages and figures are displayed and may not sum to 100 due to rounding.</w:t>
      </w:r>
    </w:p>
    <w:p w14:paraId="59F47795" w14:textId="79700B58" w:rsidR="00B70A2C" w:rsidRPr="00D270FA" w:rsidRDefault="00B70A2C" w:rsidP="0059716A">
      <w:pPr>
        <w:spacing w:line="480" w:lineRule="auto"/>
        <w:rPr>
          <w:rFonts w:ascii="Times New Roman" w:hAnsi="Times New Roman" w:cs="Times New Roman"/>
          <w:sz w:val="24"/>
          <w:szCs w:val="24"/>
        </w:rPr>
      </w:pPr>
      <w:r>
        <w:rPr>
          <w:rFonts w:ascii="Times New Roman" w:hAnsi="Times New Roman" w:cs="Times New Roman"/>
          <w:sz w:val="24"/>
          <w:szCs w:val="24"/>
        </w:rPr>
        <w:t>Figure 1 below displays the trends in the cumulative number of dissolutions by type. The failure to file outcome shows a step trend, understandable given a charity must fail to submit two</w:t>
      </w:r>
      <w:r w:rsidR="001245AB">
        <w:rPr>
          <w:rFonts w:ascii="Times New Roman" w:hAnsi="Times New Roman" w:cs="Times New Roman"/>
          <w:sz w:val="24"/>
          <w:szCs w:val="24"/>
        </w:rPr>
        <w:t xml:space="preserve"> consecutive</w:t>
      </w:r>
      <w:r>
        <w:rPr>
          <w:rFonts w:ascii="Times New Roman" w:hAnsi="Times New Roman" w:cs="Times New Roman"/>
          <w:sz w:val="24"/>
          <w:szCs w:val="24"/>
        </w:rPr>
        <w:t xml:space="preserve"> annual returns</w:t>
      </w:r>
      <w:r w:rsidR="001245AB">
        <w:rPr>
          <w:rFonts w:ascii="Times New Roman" w:hAnsi="Times New Roman" w:cs="Times New Roman"/>
          <w:sz w:val="24"/>
          <w:szCs w:val="24"/>
        </w:rPr>
        <w:t xml:space="preserve"> before being removed from the register. The lack of occurrences for each outcome prior to 2010 are likely a function of data capture limitatio</w:t>
      </w:r>
      <w:r w:rsidR="00541783">
        <w:rPr>
          <w:rFonts w:ascii="Times New Roman" w:hAnsi="Times New Roman" w:cs="Times New Roman"/>
          <w:sz w:val="24"/>
          <w:szCs w:val="24"/>
        </w:rPr>
        <w:t>ns on the part of the regulator as opposed to evidence of absence.</w:t>
      </w:r>
    </w:p>
    <w:p w14:paraId="1DB68A35" w14:textId="3E747AF3" w:rsidR="00523A6D" w:rsidRDefault="00523A6D" w:rsidP="0059716A">
      <w:pPr>
        <w:spacing w:line="480" w:lineRule="auto"/>
        <w:rPr>
          <w:rFonts w:ascii="Times New Roman" w:hAnsi="Times New Roman" w:cs="Times New Roman"/>
          <w:sz w:val="24"/>
          <w:szCs w:val="24"/>
        </w:rPr>
      </w:pPr>
      <w:r w:rsidRPr="00523A6D">
        <w:rPr>
          <w:rFonts w:ascii="Times New Roman" w:hAnsi="Times New Roman" w:cs="Times New Roman"/>
          <w:b/>
          <w:sz w:val="24"/>
          <w:szCs w:val="24"/>
        </w:rPr>
        <w:t>Figure 1.</w:t>
      </w:r>
      <w:r>
        <w:rPr>
          <w:rFonts w:ascii="Times New Roman" w:hAnsi="Times New Roman" w:cs="Times New Roman"/>
          <w:sz w:val="24"/>
          <w:szCs w:val="24"/>
        </w:rPr>
        <w:t xml:space="preserve"> Cumulative Number of Dissolutions, By Year and Type</w:t>
      </w:r>
    </w:p>
    <w:p w14:paraId="159D8C4E" w14:textId="29D166BA" w:rsidR="00523A6D" w:rsidRPr="00523A6D" w:rsidRDefault="00541783" w:rsidP="0059716A">
      <w:pPr>
        <w:spacing w:line="480" w:lineRule="auto"/>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615EAAA3" wp14:editId="576D0B71">
            <wp:extent cx="5731510" cy="4168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z_cunum_orgdiss_.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14:paraId="312D32B7" w14:textId="01488D1F" w:rsidR="00523A6D" w:rsidRPr="009265D3" w:rsidRDefault="00523A6D" w:rsidP="0059716A">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Statistical Modelling</w:t>
      </w:r>
    </w:p>
    <w:p w14:paraId="65223298" w14:textId="3B2D9F40" w:rsidR="00883E38" w:rsidRDefault="00541783" w:rsidP="0059716A">
      <w:pPr>
        <w:spacing w:line="480" w:lineRule="auto"/>
        <w:rPr>
          <w:rFonts w:ascii="Times New Roman" w:hAnsi="Times New Roman" w:cs="Times New Roman"/>
          <w:sz w:val="24"/>
          <w:szCs w:val="24"/>
        </w:rPr>
      </w:pPr>
      <w:r>
        <w:rPr>
          <w:rFonts w:ascii="Times New Roman" w:hAnsi="Times New Roman" w:cs="Times New Roman"/>
          <w:sz w:val="24"/>
          <w:szCs w:val="24"/>
        </w:rPr>
        <w:t xml:space="preserve">We now present the results of two statistical models, one for each dependent variable. </w:t>
      </w:r>
      <w:r w:rsidR="00B55D2D" w:rsidRPr="002B6782">
        <w:rPr>
          <w:rFonts w:ascii="Times New Roman" w:hAnsi="Times New Roman" w:cs="Times New Roman"/>
          <w:sz w:val="24"/>
          <w:szCs w:val="24"/>
        </w:rPr>
        <w:t>The presence of multicollinearity among the independent variables in the model</w:t>
      </w:r>
      <w:r>
        <w:rPr>
          <w:rFonts w:ascii="Times New Roman" w:hAnsi="Times New Roman" w:cs="Times New Roman"/>
          <w:sz w:val="24"/>
          <w:szCs w:val="24"/>
        </w:rPr>
        <w:t>s</w:t>
      </w:r>
      <w:r w:rsidR="00B55D2D" w:rsidRPr="002B6782">
        <w:rPr>
          <w:rFonts w:ascii="Times New Roman" w:hAnsi="Times New Roman" w:cs="Times New Roman"/>
          <w:sz w:val="24"/>
          <w:szCs w:val="24"/>
        </w:rPr>
        <w:t xml:space="preserve"> was examined by calculating the variance inflation</w:t>
      </w:r>
      <w:r w:rsidR="00997C8B">
        <w:rPr>
          <w:rFonts w:ascii="Times New Roman" w:hAnsi="Times New Roman" w:cs="Times New Roman"/>
          <w:sz w:val="24"/>
          <w:szCs w:val="24"/>
        </w:rPr>
        <w:t xml:space="preserve"> factors (VIF): mean VIF is 1.14</w:t>
      </w:r>
      <w:r w:rsidR="00B55D2D" w:rsidRPr="002B6782">
        <w:rPr>
          <w:rFonts w:ascii="Times New Roman" w:hAnsi="Times New Roman" w:cs="Times New Roman"/>
          <w:sz w:val="24"/>
          <w:szCs w:val="24"/>
        </w:rPr>
        <w:t xml:space="preserve"> and no variable has a VIF greater than 1.2</w:t>
      </w:r>
      <w:r w:rsidR="00997C8B">
        <w:rPr>
          <w:rFonts w:ascii="Times New Roman" w:hAnsi="Times New Roman" w:cs="Times New Roman"/>
          <w:sz w:val="24"/>
          <w:szCs w:val="24"/>
        </w:rPr>
        <w:t>3</w:t>
      </w:r>
      <w:r w:rsidR="00B55D2D" w:rsidRPr="002B6782">
        <w:rPr>
          <w:rFonts w:ascii="Times New Roman" w:hAnsi="Times New Roman" w:cs="Times New Roman"/>
          <w:sz w:val="24"/>
          <w:szCs w:val="24"/>
        </w:rPr>
        <w:t xml:space="preserve">, below the threshold at which Allison (1999) suggests multicollinearity is problematic. </w:t>
      </w:r>
      <w:r w:rsidR="00B55D2D">
        <w:rPr>
          <w:rFonts w:ascii="Times New Roman" w:hAnsi="Times New Roman" w:cs="Times New Roman"/>
          <w:sz w:val="24"/>
          <w:szCs w:val="24"/>
        </w:rPr>
        <w:t xml:space="preserve">We report log odds, robust standard errors, confidence intervals and a range of model fit statistics </w:t>
      </w:r>
      <w:r w:rsidR="00997C8B">
        <w:rPr>
          <w:rFonts w:ascii="Times New Roman" w:hAnsi="Times New Roman" w:cs="Times New Roman"/>
          <w:sz w:val="24"/>
          <w:szCs w:val="24"/>
        </w:rPr>
        <w:t xml:space="preserve">(see Connolly, Gayle &amp; Lambert, </w:t>
      </w:r>
      <w:r w:rsidR="00B55D2D">
        <w:rPr>
          <w:rFonts w:ascii="Times New Roman" w:hAnsi="Times New Roman" w:cs="Times New Roman"/>
          <w:sz w:val="24"/>
          <w:szCs w:val="24"/>
        </w:rPr>
        <w:t>2016).</w:t>
      </w:r>
    </w:p>
    <w:p w14:paraId="0AED8C0D" w14:textId="6A1B419C" w:rsidR="00EE0A76" w:rsidRDefault="00541783" w:rsidP="00C53521">
      <w:pPr>
        <w:spacing w:line="480" w:lineRule="auto"/>
        <w:rPr>
          <w:rFonts w:ascii="Times New Roman" w:hAnsi="Times New Roman" w:cs="Times New Roman"/>
          <w:b/>
          <w:sz w:val="24"/>
          <w:szCs w:val="24"/>
        </w:rPr>
      </w:pPr>
      <w:r>
        <w:rPr>
          <w:rFonts w:ascii="Times New Roman" w:hAnsi="Times New Roman" w:cs="Times New Roman"/>
          <w:sz w:val="24"/>
          <w:szCs w:val="24"/>
        </w:rPr>
        <w:t>Table 3</w:t>
      </w:r>
      <w:r w:rsidR="00C53521">
        <w:rPr>
          <w:rFonts w:ascii="Times New Roman" w:hAnsi="Times New Roman" w:cs="Times New Roman"/>
          <w:sz w:val="24"/>
          <w:szCs w:val="24"/>
        </w:rPr>
        <w:t xml:space="preserve"> reports the results of the logistic regression on whether a charity is dissolved or not. </w:t>
      </w:r>
      <w:r w:rsidR="00C02F32">
        <w:rPr>
          <w:rFonts w:ascii="Times New Roman" w:hAnsi="Times New Roman" w:cs="Times New Roman"/>
          <w:sz w:val="24"/>
          <w:szCs w:val="24"/>
        </w:rPr>
        <w:t>W</w:t>
      </w:r>
      <w:r w:rsidR="00C53521">
        <w:rPr>
          <w:rFonts w:ascii="Times New Roman" w:hAnsi="Times New Roman" w:cs="Times New Roman"/>
          <w:sz w:val="24"/>
          <w:szCs w:val="24"/>
        </w:rPr>
        <w:t>e</w:t>
      </w:r>
      <w:r w:rsidR="00C02F32">
        <w:rPr>
          <w:rFonts w:ascii="Times New Roman" w:hAnsi="Times New Roman" w:cs="Times New Roman"/>
          <w:sz w:val="24"/>
          <w:szCs w:val="24"/>
        </w:rPr>
        <w:t xml:space="preserve"> focus first on </w:t>
      </w:r>
      <w:r w:rsidR="00C53521">
        <w:rPr>
          <w:rFonts w:ascii="Times New Roman" w:hAnsi="Times New Roman" w:cs="Times New Roman"/>
          <w:sz w:val="24"/>
          <w:szCs w:val="24"/>
        </w:rPr>
        <w:t xml:space="preserve">our population ecology variables. An increase in organisation size is associated with a decrease in the odds of dissolution, while an increase in age is correlated with an increase in the odds. Compared to standard charities, both other organisational types have higher odds of experiencing dissolution. </w:t>
      </w:r>
      <w:r w:rsidR="00C02F32">
        <w:rPr>
          <w:rFonts w:ascii="Times New Roman" w:hAnsi="Times New Roman" w:cs="Times New Roman"/>
          <w:sz w:val="24"/>
          <w:szCs w:val="24"/>
        </w:rPr>
        <w:t>Both resource dependence measures are statistically significant: having government as a main source of revenue is associated with higher odds of experiencing dissolution, while deriving a majority of income from donations is correlated with lower odds. Finally, the control variables are not associated with the outcome, with the exception of total number of trustees, where there is some evidence that larger boards decreases the odds of becoming dissolved.</w:t>
      </w:r>
    </w:p>
    <w:p w14:paraId="4DFD197A" w14:textId="6B15BF94" w:rsidR="00EE0A76" w:rsidRPr="00EE0A76" w:rsidRDefault="00541783" w:rsidP="00EE0A76">
      <w:pPr>
        <w:spacing w:line="480" w:lineRule="auto"/>
        <w:rPr>
          <w:rFonts w:ascii="Times New Roman" w:hAnsi="Times New Roman" w:cs="Times New Roman"/>
          <w:sz w:val="24"/>
          <w:szCs w:val="24"/>
        </w:rPr>
      </w:pPr>
      <w:r>
        <w:rPr>
          <w:rFonts w:ascii="Times New Roman" w:hAnsi="Times New Roman" w:cs="Times New Roman"/>
          <w:b/>
          <w:sz w:val="24"/>
          <w:szCs w:val="24"/>
        </w:rPr>
        <w:t>Table 3</w:t>
      </w:r>
      <w:r w:rsidR="00EE0A76" w:rsidRPr="00EE0A76">
        <w:rPr>
          <w:rFonts w:ascii="Times New Roman" w:hAnsi="Times New Roman" w:cs="Times New Roman"/>
          <w:b/>
          <w:sz w:val="24"/>
          <w:szCs w:val="24"/>
        </w:rPr>
        <w:t>.</w:t>
      </w:r>
      <w:r w:rsidR="00EE0A76" w:rsidRPr="00EE0A76">
        <w:rPr>
          <w:rFonts w:ascii="Times New Roman" w:hAnsi="Times New Roman" w:cs="Times New Roman"/>
          <w:sz w:val="24"/>
          <w:szCs w:val="24"/>
        </w:rPr>
        <w:t xml:space="preserve"> Results of Logistic Regression on Outcome of Dissolution</w:t>
      </w:r>
    </w:p>
    <w:tbl>
      <w:tblPr>
        <w:tblW w:w="5000" w:type="pct"/>
        <w:tblCellMar>
          <w:left w:w="75" w:type="dxa"/>
          <w:right w:w="75" w:type="dxa"/>
        </w:tblCellMar>
        <w:tblLook w:val="0000" w:firstRow="0" w:lastRow="0" w:firstColumn="0" w:lastColumn="0" w:noHBand="0" w:noVBand="0"/>
      </w:tblPr>
      <w:tblGrid>
        <w:gridCol w:w="2694"/>
        <w:gridCol w:w="2268"/>
        <w:gridCol w:w="1134"/>
        <w:gridCol w:w="993"/>
        <w:gridCol w:w="991"/>
        <w:gridCol w:w="946"/>
      </w:tblGrid>
      <w:tr w:rsidR="00EE0A76" w:rsidRPr="004E5BE2" w14:paraId="53BDF55B" w14:textId="77777777" w:rsidTr="00A85E55">
        <w:trPr>
          <w:trHeight w:val="227"/>
        </w:trPr>
        <w:tc>
          <w:tcPr>
            <w:tcW w:w="1492" w:type="pct"/>
            <w:tcBorders>
              <w:top w:val="single" w:sz="4" w:space="0" w:color="auto"/>
              <w:left w:val="nil"/>
              <w:right w:val="nil"/>
            </w:tcBorders>
          </w:tcPr>
          <w:p w14:paraId="01C74001"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b/>
              </w:rPr>
            </w:pPr>
          </w:p>
        </w:tc>
        <w:tc>
          <w:tcPr>
            <w:tcW w:w="1256" w:type="pct"/>
            <w:tcBorders>
              <w:top w:val="single" w:sz="4" w:space="0" w:color="auto"/>
              <w:left w:val="nil"/>
              <w:right w:val="nil"/>
            </w:tcBorders>
          </w:tcPr>
          <w:p w14:paraId="53EF224E"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single" w:sz="4" w:space="0" w:color="auto"/>
              <w:left w:val="nil"/>
              <w:right w:val="nil"/>
            </w:tcBorders>
          </w:tcPr>
          <w:p w14:paraId="1803F02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single" w:sz="4" w:space="0" w:color="auto"/>
              <w:left w:val="nil"/>
              <w:right w:val="nil"/>
            </w:tcBorders>
          </w:tcPr>
          <w:p w14:paraId="6A21665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1073" w:type="pct"/>
            <w:gridSpan w:val="2"/>
            <w:tcBorders>
              <w:top w:val="single" w:sz="4" w:space="0" w:color="auto"/>
              <w:left w:val="nil"/>
              <w:bottom w:val="single" w:sz="4" w:space="0" w:color="auto"/>
              <w:right w:val="nil"/>
            </w:tcBorders>
          </w:tcPr>
          <w:p w14:paraId="1E5F9403"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95% CI</w:t>
            </w:r>
          </w:p>
        </w:tc>
      </w:tr>
      <w:tr w:rsidR="00EE0A76" w:rsidRPr="004E5BE2" w14:paraId="0E386F3B" w14:textId="77777777" w:rsidTr="00A85E55">
        <w:trPr>
          <w:trHeight w:val="227"/>
        </w:trPr>
        <w:tc>
          <w:tcPr>
            <w:tcW w:w="1492" w:type="pct"/>
            <w:tcBorders>
              <w:left w:val="nil"/>
              <w:bottom w:val="single" w:sz="6" w:space="0" w:color="auto"/>
              <w:right w:val="nil"/>
            </w:tcBorders>
          </w:tcPr>
          <w:p w14:paraId="397A7BBA"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b/>
              </w:rPr>
            </w:pPr>
          </w:p>
        </w:tc>
        <w:tc>
          <w:tcPr>
            <w:tcW w:w="1256" w:type="pct"/>
            <w:tcBorders>
              <w:left w:val="nil"/>
              <w:bottom w:val="single" w:sz="6" w:space="0" w:color="auto"/>
              <w:right w:val="nil"/>
            </w:tcBorders>
          </w:tcPr>
          <w:p w14:paraId="2AE955FB"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left w:val="nil"/>
              <w:bottom w:val="single" w:sz="6" w:space="0" w:color="auto"/>
              <w:right w:val="nil"/>
            </w:tcBorders>
          </w:tcPr>
          <w:p w14:paraId="549435A1"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Log odds</w:t>
            </w:r>
          </w:p>
        </w:tc>
        <w:tc>
          <w:tcPr>
            <w:tcW w:w="550" w:type="pct"/>
            <w:tcBorders>
              <w:left w:val="nil"/>
              <w:bottom w:val="single" w:sz="6" w:space="0" w:color="auto"/>
              <w:right w:val="nil"/>
            </w:tcBorders>
          </w:tcPr>
          <w:p w14:paraId="54DA4B3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SE</w:t>
            </w:r>
          </w:p>
        </w:tc>
        <w:tc>
          <w:tcPr>
            <w:tcW w:w="549" w:type="pct"/>
            <w:tcBorders>
              <w:top w:val="single" w:sz="4" w:space="0" w:color="auto"/>
              <w:left w:val="nil"/>
              <w:bottom w:val="single" w:sz="6" w:space="0" w:color="auto"/>
              <w:right w:val="nil"/>
            </w:tcBorders>
          </w:tcPr>
          <w:p w14:paraId="55843BC5"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Lower</w:t>
            </w:r>
          </w:p>
        </w:tc>
        <w:tc>
          <w:tcPr>
            <w:tcW w:w="524" w:type="pct"/>
            <w:tcBorders>
              <w:top w:val="single" w:sz="4" w:space="0" w:color="auto"/>
              <w:left w:val="nil"/>
              <w:bottom w:val="single" w:sz="6" w:space="0" w:color="auto"/>
              <w:right w:val="nil"/>
            </w:tcBorders>
          </w:tcPr>
          <w:p w14:paraId="4CF5D6A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Upper</w:t>
            </w:r>
          </w:p>
        </w:tc>
      </w:tr>
      <w:tr w:rsidR="00EE0A76" w:rsidRPr="004E5BE2" w14:paraId="0CDEF177" w14:textId="77777777" w:rsidTr="00A85E55">
        <w:trPr>
          <w:trHeight w:val="227"/>
        </w:trPr>
        <w:tc>
          <w:tcPr>
            <w:tcW w:w="1492" w:type="pct"/>
            <w:tcBorders>
              <w:top w:val="nil"/>
              <w:left w:val="nil"/>
              <w:bottom w:val="nil"/>
              <w:right w:val="nil"/>
            </w:tcBorders>
          </w:tcPr>
          <w:p w14:paraId="260FE481"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b/>
                <w:i/>
              </w:rPr>
            </w:pPr>
            <w:r w:rsidRPr="004E5BE2">
              <w:rPr>
                <w:rFonts w:ascii="Times New Roman" w:hAnsi="Times New Roman" w:cs="Times New Roman"/>
                <w:i/>
              </w:rPr>
              <w:t>Population Ecology</w:t>
            </w:r>
          </w:p>
        </w:tc>
        <w:tc>
          <w:tcPr>
            <w:tcW w:w="1256" w:type="pct"/>
            <w:tcBorders>
              <w:top w:val="nil"/>
              <w:left w:val="nil"/>
              <w:bottom w:val="nil"/>
              <w:right w:val="nil"/>
            </w:tcBorders>
          </w:tcPr>
          <w:p w14:paraId="4ABDF9EF"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752A3431"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6F212AF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667B416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2188818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12BC1CED" w14:textId="77777777" w:rsidTr="00A85E55">
        <w:trPr>
          <w:trHeight w:val="227"/>
        </w:trPr>
        <w:tc>
          <w:tcPr>
            <w:tcW w:w="1492" w:type="pct"/>
            <w:tcBorders>
              <w:top w:val="nil"/>
              <w:left w:val="nil"/>
              <w:bottom w:val="nil"/>
              <w:right w:val="nil"/>
            </w:tcBorders>
          </w:tcPr>
          <w:p w14:paraId="5FE223A4"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Size</w:t>
            </w:r>
          </w:p>
        </w:tc>
        <w:tc>
          <w:tcPr>
            <w:tcW w:w="1256" w:type="pct"/>
            <w:tcBorders>
              <w:top w:val="nil"/>
              <w:left w:val="nil"/>
              <w:bottom w:val="nil"/>
              <w:right w:val="nil"/>
            </w:tcBorders>
          </w:tcPr>
          <w:p w14:paraId="017E3A60"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629228A6"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-0.17***</w:t>
            </w:r>
          </w:p>
        </w:tc>
        <w:tc>
          <w:tcPr>
            <w:tcW w:w="550" w:type="pct"/>
            <w:tcBorders>
              <w:top w:val="nil"/>
              <w:left w:val="nil"/>
              <w:bottom w:val="nil"/>
              <w:right w:val="nil"/>
            </w:tcBorders>
          </w:tcPr>
          <w:p w14:paraId="1C2E55D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0.01</w:t>
            </w:r>
          </w:p>
        </w:tc>
        <w:tc>
          <w:tcPr>
            <w:tcW w:w="549" w:type="pct"/>
            <w:tcBorders>
              <w:top w:val="nil"/>
              <w:left w:val="nil"/>
              <w:bottom w:val="nil"/>
              <w:right w:val="nil"/>
            </w:tcBorders>
          </w:tcPr>
          <w:p w14:paraId="38A06091"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-0.19</w:t>
            </w:r>
          </w:p>
        </w:tc>
        <w:tc>
          <w:tcPr>
            <w:tcW w:w="524" w:type="pct"/>
            <w:tcBorders>
              <w:top w:val="nil"/>
              <w:left w:val="nil"/>
              <w:bottom w:val="nil"/>
              <w:right w:val="nil"/>
            </w:tcBorders>
          </w:tcPr>
          <w:p w14:paraId="7BA56261"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-0.15</w:t>
            </w:r>
          </w:p>
        </w:tc>
      </w:tr>
      <w:tr w:rsidR="00EE0A76" w:rsidRPr="004E5BE2" w14:paraId="417B305E" w14:textId="77777777" w:rsidTr="00A85E55">
        <w:trPr>
          <w:trHeight w:val="227"/>
        </w:trPr>
        <w:tc>
          <w:tcPr>
            <w:tcW w:w="1492" w:type="pct"/>
            <w:tcBorders>
              <w:top w:val="nil"/>
              <w:left w:val="nil"/>
              <w:bottom w:val="nil"/>
              <w:right w:val="nil"/>
            </w:tcBorders>
          </w:tcPr>
          <w:p w14:paraId="55AE62F9"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Age</w:t>
            </w:r>
          </w:p>
        </w:tc>
        <w:tc>
          <w:tcPr>
            <w:tcW w:w="1256" w:type="pct"/>
            <w:tcBorders>
              <w:top w:val="nil"/>
              <w:left w:val="nil"/>
              <w:bottom w:val="nil"/>
              <w:right w:val="nil"/>
            </w:tcBorders>
          </w:tcPr>
          <w:p w14:paraId="1E17D11C"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12BDF32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50" w:type="pct"/>
            <w:tcBorders>
              <w:top w:val="nil"/>
              <w:left w:val="nil"/>
              <w:bottom w:val="nil"/>
              <w:right w:val="nil"/>
            </w:tcBorders>
          </w:tcPr>
          <w:p w14:paraId="1C2683DA"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0.01</w:t>
            </w:r>
          </w:p>
        </w:tc>
        <w:tc>
          <w:tcPr>
            <w:tcW w:w="549" w:type="pct"/>
            <w:tcBorders>
              <w:top w:val="nil"/>
              <w:left w:val="nil"/>
              <w:bottom w:val="nil"/>
              <w:right w:val="nil"/>
            </w:tcBorders>
          </w:tcPr>
          <w:p w14:paraId="0C9D03C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c>
          <w:tcPr>
            <w:tcW w:w="524" w:type="pct"/>
            <w:tcBorders>
              <w:top w:val="nil"/>
              <w:left w:val="nil"/>
              <w:bottom w:val="nil"/>
              <w:right w:val="nil"/>
            </w:tcBorders>
          </w:tcPr>
          <w:p w14:paraId="7EA600D7"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0.08</w:t>
            </w:r>
          </w:p>
        </w:tc>
      </w:tr>
      <w:tr w:rsidR="00EE0A76" w:rsidRPr="004E5BE2" w14:paraId="74835330" w14:textId="77777777" w:rsidTr="00A85E55">
        <w:trPr>
          <w:trHeight w:val="227"/>
        </w:trPr>
        <w:tc>
          <w:tcPr>
            <w:tcW w:w="1492" w:type="pct"/>
            <w:tcBorders>
              <w:top w:val="nil"/>
              <w:left w:val="nil"/>
              <w:bottom w:val="nil"/>
              <w:right w:val="nil"/>
            </w:tcBorders>
          </w:tcPr>
          <w:p w14:paraId="2DFB4E28"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Type</w:t>
            </w:r>
          </w:p>
        </w:tc>
        <w:tc>
          <w:tcPr>
            <w:tcW w:w="1256" w:type="pct"/>
            <w:tcBorders>
              <w:top w:val="nil"/>
              <w:left w:val="nil"/>
              <w:bottom w:val="nil"/>
              <w:right w:val="nil"/>
            </w:tcBorders>
          </w:tcPr>
          <w:p w14:paraId="1CF21D5D"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0F5D418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07A83349"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5AC43D6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35756A7F"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41D4691A" w14:textId="77777777" w:rsidTr="00A85E55">
        <w:trPr>
          <w:trHeight w:val="227"/>
        </w:trPr>
        <w:tc>
          <w:tcPr>
            <w:tcW w:w="1492" w:type="pct"/>
            <w:tcBorders>
              <w:top w:val="nil"/>
              <w:left w:val="nil"/>
              <w:bottom w:val="nil"/>
              <w:right w:val="nil"/>
            </w:tcBorders>
          </w:tcPr>
          <w:p w14:paraId="6D1B5C75"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4DB6F6CE"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Standard</w:t>
            </w:r>
            <w:r>
              <w:rPr>
                <w:rFonts w:ascii="Times New Roman" w:hAnsi="Times New Roman" w:cs="Times New Roman"/>
              </w:rPr>
              <w:t xml:space="preserve"> charity</w:t>
            </w:r>
          </w:p>
        </w:tc>
        <w:tc>
          <w:tcPr>
            <w:tcW w:w="628" w:type="pct"/>
            <w:tcBorders>
              <w:top w:val="nil"/>
              <w:left w:val="nil"/>
              <w:bottom w:val="nil"/>
              <w:right w:val="nil"/>
            </w:tcBorders>
          </w:tcPr>
          <w:p w14:paraId="7F2711E0"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Ref.</w:t>
            </w:r>
          </w:p>
        </w:tc>
        <w:tc>
          <w:tcPr>
            <w:tcW w:w="550" w:type="pct"/>
            <w:tcBorders>
              <w:top w:val="nil"/>
              <w:left w:val="nil"/>
              <w:bottom w:val="nil"/>
              <w:right w:val="nil"/>
            </w:tcBorders>
          </w:tcPr>
          <w:p w14:paraId="18E5C4C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49" w:type="pct"/>
            <w:tcBorders>
              <w:top w:val="nil"/>
              <w:left w:val="nil"/>
              <w:bottom w:val="nil"/>
              <w:right w:val="nil"/>
            </w:tcBorders>
          </w:tcPr>
          <w:p w14:paraId="41BB9ADA"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24" w:type="pct"/>
            <w:tcBorders>
              <w:top w:val="nil"/>
              <w:left w:val="nil"/>
              <w:bottom w:val="nil"/>
              <w:right w:val="nil"/>
            </w:tcBorders>
          </w:tcPr>
          <w:p w14:paraId="553087B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r>
      <w:tr w:rsidR="00EE0A76" w:rsidRPr="004E5BE2" w14:paraId="18026601" w14:textId="77777777" w:rsidTr="00A85E55">
        <w:trPr>
          <w:trHeight w:val="227"/>
        </w:trPr>
        <w:tc>
          <w:tcPr>
            <w:tcW w:w="1492" w:type="pct"/>
            <w:tcBorders>
              <w:top w:val="nil"/>
              <w:left w:val="nil"/>
              <w:bottom w:val="nil"/>
              <w:right w:val="nil"/>
            </w:tcBorders>
          </w:tcPr>
          <w:p w14:paraId="0CD0E59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450373FE"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Society or institution</w:t>
            </w:r>
          </w:p>
        </w:tc>
        <w:tc>
          <w:tcPr>
            <w:tcW w:w="628" w:type="pct"/>
            <w:tcBorders>
              <w:top w:val="nil"/>
              <w:left w:val="nil"/>
              <w:bottom w:val="nil"/>
              <w:right w:val="nil"/>
            </w:tcBorders>
          </w:tcPr>
          <w:p w14:paraId="3085B75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5.02***</w:t>
            </w:r>
          </w:p>
        </w:tc>
        <w:tc>
          <w:tcPr>
            <w:tcW w:w="550" w:type="pct"/>
            <w:tcBorders>
              <w:top w:val="nil"/>
              <w:left w:val="nil"/>
              <w:bottom w:val="nil"/>
              <w:right w:val="nil"/>
            </w:tcBorders>
          </w:tcPr>
          <w:p w14:paraId="14D70C7A"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0.08</w:t>
            </w:r>
          </w:p>
        </w:tc>
        <w:tc>
          <w:tcPr>
            <w:tcW w:w="549" w:type="pct"/>
            <w:tcBorders>
              <w:top w:val="nil"/>
              <w:left w:val="nil"/>
              <w:bottom w:val="nil"/>
              <w:right w:val="nil"/>
            </w:tcBorders>
          </w:tcPr>
          <w:p w14:paraId="19065A9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4.87</w:t>
            </w:r>
          </w:p>
        </w:tc>
        <w:tc>
          <w:tcPr>
            <w:tcW w:w="524" w:type="pct"/>
            <w:tcBorders>
              <w:top w:val="nil"/>
              <w:left w:val="nil"/>
              <w:bottom w:val="nil"/>
              <w:right w:val="nil"/>
            </w:tcBorders>
          </w:tcPr>
          <w:p w14:paraId="23CD5A0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5.17</w:t>
            </w:r>
          </w:p>
        </w:tc>
      </w:tr>
      <w:tr w:rsidR="00EE0A76" w:rsidRPr="004E5BE2" w14:paraId="63E0E0E0" w14:textId="77777777" w:rsidTr="00A85E55">
        <w:trPr>
          <w:trHeight w:val="227"/>
        </w:trPr>
        <w:tc>
          <w:tcPr>
            <w:tcW w:w="1492" w:type="pct"/>
            <w:tcBorders>
              <w:top w:val="nil"/>
              <w:left w:val="nil"/>
              <w:bottom w:val="nil"/>
              <w:right w:val="nil"/>
            </w:tcBorders>
          </w:tcPr>
          <w:p w14:paraId="2F0FEA17"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109430E7"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Trustees of a trust</w:t>
            </w:r>
          </w:p>
        </w:tc>
        <w:tc>
          <w:tcPr>
            <w:tcW w:w="628" w:type="pct"/>
            <w:tcBorders>
              <w:top w:val="nil"/>
              <w:left w:val="nil"/>
              <w:bottom w:val="nil"/>
              <w:right w:val="nil"/>
            </w:tcBorders>
          </w:tcPr>
          <w:p w14:paraId="2024B868"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5.26***</w:t>
            </w:r>
          </w:p>
        </w:tc>
        <w:tc>
          <w:tcPr>
            <w:tcW w:w="550" w:type="pct"/>
            <w:tcBorders>
              <w:top w:val="nil"/>
              <w:left w:val="nil"/>
              <w:bottom w:val="nil"/>
              <w:right w:val="nil"/>
            </w:tcBorders>
          </w:tcPr>
          <w:p w14:paraId="3BC320E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0.08</w:t>
            </w:r>
          </w:p>
        </w:tc>
        <w:tc>
          <w:tcPr>
            <w:tcW w:w="549" w:type="pct"/>
            <w:tcBorders>
              <w:top w:val="nil"/>
              <w:left w:val="nil"/>
              <w:bottom w:val="nil"/>
              <w:right w:val="nil"/>
            </w:tcBorders>
          </w:tcPr>
          <w:p w14:paraId="47D1534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5.10</w:t>
            </w:r>
          </w:p>
        </w:tc>
        <w:tc>
          <w:tcPr>
            <w:tcW w:w="524" w:type="pct"/>
            <w:tcBorders>
              <w:top w:val="nil"/>
              <w:left w:val="nil"/>
              <w:bottom w:val="nil"/>
              <w:right w:val="nil"/>
            </w:tcBorders>
          </w:tcPr>
          <w:p w14:paraId="4475523E"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5.42</w:t>
            </w:r>
          </w:p>
        </w:tc>
      </w:tr>
      <w:tr w:rsidR="00EE0A76" w:rsidRPr="004E5BE2" w14:paraId="416CD7E0" w14:textId="77777777" w:rsidTr="00A85E55">
        <w:trPr>
          <w:trHeight w:val="227"/>
        </w:trPr>
        <w:tc>
          <w:tcPr>
            <w:tcW w:w="1492" w:type="pct"/>
            <w:tcBorders>
              <w:top w:val="nil"/>
              <w:left w:val="nil"/>
              <w:bottom w:val="nil"/>
              <w:right w:val="nil"/>
            </w:tcBorders>
          </w:tcPr>
          <w:p w14:paraId="451FCEBC"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Education</w:t>
            </w:r>
          </w:p>
        </w:tc>
        <w:tc>
          <w:tcPr>
            <w:tcW w:w="1256" w:type="pct"/>
            <w:tcBorders>
              <w:top w:val="nil"/>
              <w:left w:val="nil"/>
              <w:bottom w:val="nil"/>
              <w:right w:val="nil"/>
            </w:tcBorders>
          </w:tcPr>
          <w:p w14:paraId="704AE892"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04C926EC"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-0.19**</w:t>
            </w:r>
          </w:p>
        </w:tc>
        <w:tc>
          <w:tcPr>
            <w:tcW w:w="550" w:type="pct"/>
            <w:tcBorders>
              <w:top w:val="nil"/>
              <w:left w:val="nil"/>
              <w:bottom w:val="nil"/>
              <w:right w:val="nil"/>
            </w:tcBorders>
          </w:tcPr>
          <w:p w14:paraId="33E6E53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0.07</w:t>
            </w:r>
          </w:p>
        </w:tc>
        <w:tc>
          <w:tcPr>
            <w:tcW w:w="549" w:type="pct"/>
            <w:tcBorders>
              <w:top w:val="nil"/>
              <w:left w:val="nil"/>
              <w:bottom w:val="nil"/>
              <w:right w:val="nil"/>
            </w:tcBorders>
          </w:tcPr>
          <w:p w14:paraId="3BF3E1F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-0.33</w:t>
            </w:r>
          </w:p>
        </w:tc>
        <w:tc>
          <w:tcPr>
            <w:tcW w:w="524" w:type="pct"/>
            <w:tcBorders>
              <w:top w:val="nil"/>
              <w:left w:val="nil"/>
              <w:bottom w:val="nil"/>
              <w:right w:val="nil"/>
            </w:tcBorders>
          </w:tcPr>
          <w:p w14:paraId="162FC387"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r>
      <w:tr w:rsidR="00EE0A76" w:rsidRPr="004E5BE2" w14:paraId="6CC1E6E8" w14:textId="77777777" w:rsidTr="00A85E55">
        <w:trPr>
          <w:trHeight w:val="227"/>
        </w:trPr>
        <w:tc>
          <w:tcPr>
            <w:tcW w:w="1492" w:type="pct"/>
            <w:tcBorders>
              <w:top w:val="nil"/>
              <w:left w:val="nil"/>
              <w:bottom w:val="nil"/>
              <w:right w:val="nil"/>
            </w:tcBorders>
          </w:tcPr>
          <w:p w14:paraId="07A2914F"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CYP</w:t>
            </w:r>
          </w:p>
        </w:tc>
        <w:tc>
          <w:tcPr>
            <w:tcW w:w="1256" w:type="pct"/>
            <w:tcBorders>
              <w:top w:val="nil"/>
              <w:left w:val="nil"/>
              <w:bottom w:val="nil"/>
              <w:right w:val="nil"/>
            </w:tcBorders>
          </w:tcPr>
          <w:p w14:paraId="02AD2A84"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4844C0E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0.07</w:t>
            </w:r>
          </w:p>
        </w:tc>
        <w:tc>
          <w:tcPr>
            <w:tcW w:w="550" w:type="pct"/>
            <w:tcBorders>
              <w:top w:val="nil"/>
              <w:left w:val="nil"/>
              <w:bottom w:val="nil"/>
              <w:right w:val="nil"/>
            </w:tcBorders>
          </w:tcPr>
          <w:p w14:paraId="10A830B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49" w:type="pct"/>
            <w:tcBorders>
              <w:top w:val="nil"/>
              <w:left w:val="nil"/>
              <w:bottom w:val="nil"/>
              <w:right w:val="nil"/>
            </w:tcBorders>
          </w:tcPr>
          <w:p w14:paraId="1F609C38"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24" w:type="pct"/>
            <w:tcBorders>
              <w:top w:val="nil"/>
              <w:left w:val="nil"/>
              <w:bottom w:val="nil"/>
              <w:right w:val="nil"/>
            </w:tcBorders>
          </w:tcPr>
          <w:p w14:paraId="5855C05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0.19</w:t>
            </w:r>
          </w:p>
        </w:tc>
      </w:tr>
      <w:tr w:rsidR="00EE0A76" w:rsidRPr="004E5BE2" w14:paraId="5441EEA7" w14:textId="77777777" w:rsidTr="00A85E55">
        <w:trPr>
          <w:trHeight w:val="227"/>
        </w:trPr>
        <w:tc>
          <w:tcPr>
            <w:tcW w:w="1492" w:type="pct"/>
            <w:tcBorders>
              <w:top w:val="nil"/>
              <w:left w:val="nil"/>
              <w:bottom w:val="nil"/>
              <w:right w:val="nil"/>
            </w:tcBorders>
          </w:tcPr>
          <w:p w14:paraId="225FA479"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i/>
              </w:rPr>
            </w:pPr>
            <w:r w:rsidRPr="004E5BE2">
              <w:rPr>
                <w:rFonts w:ascii="Times New Roman" w:hAnsi="Times New Roman" w:cs="Times New Roman"/>
                <w:i/>
              </w:rPr>
              <w:t>Resource Dependence</w:t>
            </w:r>
          </w:p>
        </w:tc>
        <w:tc>
          <w:tcPr>
            <w:tcW w:w="1256" w:type="pct"/>
            <w:tcBorders>
              <w:top w:val="nil"/>
              <w:left w:val="nil"/>
              <w:bottom w:val="nil"/>
              <w:right w:val="nil"/>
            </w:tcBorders>
          </w:tcPr>
          <w:p w14:paraId="4A357E6A"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013F74CA"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7A701969"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398BBB8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40A6A62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0280C316" w14:textId="77777777" w:rsidTr="00A85E55">
        <w:trPr>
          <w:trHeight w:val="227"/>
        </w:trPr>
        <w:tc>
          <w:tcPr>
            <w:tcW w:w="1492" w:type="pct"/>
            <w:tcBorders>
              <w:top w:val="nil"/>
              <w:left w:val="nil"/>
              <w:bottom w:val="nil"/>
              <w:right w:val="nil"/>
            </w:tcBorders>
          </w:tcPr>
          <w:p w14:paraId="006D628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Donations</w:t>
            </w:r>
          </w:p>
        </w:tc>
        <w:tc>
          <w:tcPr>
            <w:tcW w:w="1256" w:type="pct"/>
            <w:tcBorders>
              <w:top w:val="nil"/>
              <w:left w:val="nil"/>
              <w:bottom w:val="nil"/>
              <w:right w:val="nil"/>
            </w:tcBorders>
          </w:tcPr>
          <w:p w14:paraId="7F687634"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658BA17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-0.23***</w:t>
            </w:r>
          </w:p>
        </w:tc>
        <w:tc>
          <w:tcPr>
            <w:tcW w:w="550" w:type="pct"/>
            <w:tcBorders>
              <w:top w:val="nil"/>
              <w:left w:val="nil"/>
              <w:bottom w:val="nil"/>
              <w:right w:val="nil"/>
            </w:tcBorders>
          </w:tcPr>
          <w:p w14:paraId="38BDA83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49" w:type="pct"/>
            <w:tcBorders>
              <w:top w:val="nil"/>
              <w:left w:val="nil"/>
              <w:bottom w:val="nil"/>
              <w:right w:val="nil"/>
            </w:tcBorders>
          </w:tcPr>
          <w:p w14:paraId="5EEA63D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-0.34</w:t>
            </w:r>
          </w:p>
        </w:tc>
        <w:tc>
          <w:tcPr>
            <w:tcW w:w="524" w:type="pct"/>
            <w:tcBorders>
              <w:top w:val="nil"/>
              <w:left w:val="nil"/>
              <w:bottom w:val="nil"/>
              <w:right w:val="nil"/>
            </w:tcBorders>
          </w:tcPr>
          <w:p w14:paraId="6104717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-0.12</w:t>
            </w:r>
          </w:p>
        </w:tc>
      </w:tr>
      <w:tr w:rsidR="00EE0A76" w:rsidRPr="004E5BE2" w14:paraId="2106CFB2" w14:textId="77777777" w:rsidTr="00A85E55">
        <w:trPr>
          <w:trHeight w:val="227"/>
        </w:trPr>
        <w:tc>
          <w:tcPr>
            <w:tcW w:w="1492" w:type="pct"/>
            <w:tcBorders>
              <w:top w:val="nil"/>
              <w:left w:val="nil"/>
              <w:bottom w:val="nil"/>
              <w:right w:val="nil"/>
            </w:tcBorders>
          </w:tcPr>
          <w:p w14:paraId="20C8DDF7"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Government</w:t>
            </w:r>
          </w:p>
        </w:tc>
        <w:tc>
          <w:tcPr>
            <w:tcW w:w="1256" w:type="pct"/>
            <w:tcBorders>
              <w:top w:val="nil"/>
              <w:left w:val="nil"/>
              <w:bottom w:val="nil"/>
              <w:right w:val="nil"/>
            </w:tcBorders>
          </w:tcPr>
          <w:p w14:paraId="54F7FE56"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48E4FD29"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0.37***</w:t>
            </w:r>
          </w:p>
        </w:tc>
        <w:tc>
          <w:tcPr>
            <w:tcW w:w="550" w:type="pct"/>
            <w:tcBorders>
              <w:top w:val="nil"/>
              <w:left w:val="nil"/>
              <w:bottom w:val="nil"/>
              <w:right w:val="nil"/>
            </w:tcBorders>
          </w:tcPr>
          <w:p w14:paraId="13D0F88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c>
          <w:tcPr>
            <w:tcW w:w="549" w:type="pct"/>
            <w:tcBorders>
              <w:top w:val="nil"/>
              <w:left w:val="nil"/>
              <w:bottom w:val="nil"/>
              <w:right w:val="nil"/>
            </w:tcBorders>
          </w:tcPr>
          <w:p w14:paraId="52DACC0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0.27</w:t>
            </w:r>
          </w:p>
        </w:tc>
        <w:tc>
          <w:tcPr>
            <w:tcW w:w="524" w:type="pct"/>
            <w:tcBorders>
              <w:top w:val="nil"/>
              <w:left w:val="nil"/>
              <w:bottom w:val="nil"/>
              <w:right w:val="nil"/>
            </w:tcBorders>
          </w:tcPr>
          <w:p w14:paraId="2ED0F2FE"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0.47</w:t>
            </w:r>
          </w:p>
        </w:tc>
      </w:tr>
      <w:tr w:rsidR="00EE0A76" w:rsidRPr="004E5BE2" w14:paraId="11D7AC53" w14:textId="77777777" w:rsidTr="00A85E55">
        <w:trPr>
          <w:trHeight w:val="227"/>
        </w:trPr>
        <w:tc>
          <w:tcPr>
            <w:tcW w:w="1492" w:type="pct"/>
            <w:tcBorders>
              <w:top w:val="nil"/>
              <w:left w:val="nil"/>
              <w:bottom w:val="nil"/>
              <w:right w:val="nil"/>
            </w:tcBorders>
          </w:tcPr>
          <w:p w14:paraId="1D5A95D7"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i/>
              </w:rPr>
            </w:pPr>
            <w:r w:rsidRPr="004E5BE2">
              <w:rPr>
                <w:rFonts w:ascii="Times New Roman" w:hAnsi="Times New Roman" w:cs="Times New Roman"/>
                <w:i/>
              </w:rPr>
              <w:t>Controls</w:t>
            </w:r>
          </w:p>
        </w:tc>
        <w:tc>
          <w:tcPr>
            <w:tcW w:w="1256" w:type="pct"/>
            <w:tcBorders>
              <w:top w:val="nil"/>
              <w:left w:val="nil"/>
              <w:bottom w:val="nil"/>
              <w:right w:val="nil"/>
            </w:tcBorders>
          </w:tcPr>
          <w:p w14:paraId="37331918"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3E568C3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194D829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4D98345F"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631E05F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3EAA49B1" w14:textId="77777777" w:rsidTr="00A85E55">
        <w:trPr>
          <w:trHeight w:val="227"/>
        </w:trPr>
        <w:tc>
          <w:tcPr>
            <w:tcW w:w="1492" w:type="pct"/>
            <w:tcBorders>
              <w:top w:val="nil"/>
              <w:left w:val="nil"/>
              <w:bottom w:val="nil"/>
              <w:right w:val="nil"/>
            </w:tcBorders>
          </w:tcPr>
          <w:p w14:paraId="19FAAC98"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Employees</w:t>
            </w:r>
          </w:p>
        </w:tc>
        <w:tc>
          <w:tcPr>
            <w:tcW w:w="1256" w:type="pct"/>
            <w:tcBorders>
              <w:top w:val="nil"/>
              <w:left w:val="nil"/>
              <w:bottom w:val="nil"/>
              <w:right w:val="nil"/>
            </w:tcBorders>
          </w:tcPr>
          <w:p w14:paraId="40BBFEC9"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072A4E5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50" w:type="pct"/>
            <w:tcBorders>
              <w:top w:val="nil"/>
              <w:left w:val="nil"/>
              <w:bottom w:val="nil"/>
              <w:right w:val="nil"/>
            </w:tcBorders>
          </w:tcPr>
          <w:p w14:paraId="7D0D54D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49" w:type="pct"/>
            <w:tcBorders>
              <w:top w:val="nil"/>
              <w:left w:val="nil"/>
              <w:bottom w:val="nil"/>
              <w:right w:val="nil"/>
            </w:tcBorders>
          </w:tcPr>
          <w:p w14:paraId="037BF2F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24" w:type="pct"/>
            <w:tcBorders>
              <w:top w:val="nil"/>
              <w:left w:val="nil"/>
              <w:bottom w:val="nil"/>
              <w:right w:val="nil"/>
            </w:tcBorders>
          </w:tcPr>
          <w:p w14:paraId="45252FD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r>
      <w:tr w:rsidR="00EE0A76" w:rsidRPr="004E5BE2" w14:paraId="7B72FDD2" w14:textId="77777777" w:rsidTr="00A85E55">
        <w:trPr>
          <w:trHeight w:val="227"/>
        </w:trPr>
        <w:tc>
          <w:tcPr>
            <w:tcW w:w="1492" w:type="pct"/>
            <w:tcBorders>
              <w:top w:val="nil"/>
              <w:left w:val="nil"/>
              <w:bottom w:val="nil"/>
              <w:right w:val="nil"/>
            </w:tcBorders>
          </w:tcPr>
          <w:p w14:paraId="25D9D05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Volunteers</w:t>
            </w:r>
          </w:p>
        </w:tc>
        <w:tc>
          <w:tcPr>
            <w:tcW w:w="1256" w:type="pct"/>
            <w:tcBorders>
              <w:top w:val="nil"/>
              <w:left w:val="nil"/>
              <w:bottom w:val="nil"/>
              <w:right w:val="nil"/>
            </w:tcBorders>
          </w:tcPr>
          <w:p w14:paraId="30194BB4"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557A0C89"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50" w:type="pct"/>
            <w:tcBorders>
              <w:top w:val="nil"/>
              <w:left w:val="nil"/>
              <w:bottom w:val="nil"/>
              <w:right w:val="nil"/>
            </w:tcBorders>
          </w:tcPr>
          <w:p w14:paraId="463FBCE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49" w:type="pct"/>
            <w:tcBorders>
              <w:top w:val="nil"/>
              <w:left w:val="nil"/>
              <w:bottom w:val="nil"/>
              <w:right w:val="nil"/>
            </w:tcBorders>
          </w:tcPr>
          <w:p w14:paraId="163FFC8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24" w:type="pct"/>
            <w:tcBorders>
              <w:top w:val="nil"/>
              <w:left w:val="nil"/>
              <w:bottom w:val="nil"/>
              <w:right w:val="nil"/>
            </w:tcBorders>
          </w:tcPr>
          <w:p w14:paraId="2FC6DF58"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r>
      <w:tr w:rsidR="00EE0A76" w:rsidRPr="004E5BE2" w14:paraId="76618893" w14:textId="77777777" w:rsidTr="00A85E55">
        <w:trPr>
          <w:trHeight w:val="227"/>
        </w:trPr>
        <w:tc>
          <w:tcPr>
            <w:tcW w:w="1492" w:type="pct"/>
            <w:tcBorders>
              <w:top w:val="nil"/>
              <w:left w:val="nil"/>
              <w:bottom w:val="nil"/>
              <w:right w:val="nil"/>
            </w:tcBorders>
          </w:tcPr>
          <w:p w14:paraId="05804CBD"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Trustees</w:t>
            </w:r>
          </w:p>
        </w:tc>
        <w:tc>
          <w:tcPr>
            <w:tcW w:w="1256" w:type="pct"/>
            <w:tcBorders>
              <w:top w:val="nil"/>
              <w:left w:val="nil"/>
              <w:bottom w:val="nil"/>
              <w:right w:val="nil"/>
            </w:tcBorders>
          </w:tcPr>
          <w:p w14:paraId="260CB46C"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50724AD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c>
          <w:tcPr>
            <w:tcW w:w="550" w:type="pct"/>
            <w:tcBorders>
              <w:top w:val="nil"/>
              <w:left w:val="nil"/>
              <w:bottom w:val="nil"/>
              <w:right w:val="nil"/>
            </w:tcBorders>
          </w:tcPr>
          <w:p w14:paraId="4BAD9EAD"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49" w:type="pct"/>
            <w:tcBorders>
              <w:top w:val="nil"/>
              <w:left w:val="nil"/>
              <w:bottom w:val="nil"/>
              <w:right w:val="nil"/>
            </w:tcBorders>
          </w:tcPr>
          <w:p w14:paraId="5EAD2FC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24" w:type="pct"/>
            <w:tcBorders>
              <w:top w:val="nil"/>
              <w:left w:val="nil"/>
              <w:bottom w:val="nil"/>
              <w:right w:val="nil"/>
            </w:tcBorders>
          </w:tcPr>
          <w:p w14:paraId="350E084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r>
      <w:tr w:rsidR="00ED4DB1" w:rsidRPr="004E5BE2" w14:paraId="585AF034" w14:textId="77777777" w:rsidTr="00A85E55">
        <w:trPr>
          <w:trHeight w:val="227"/>
        </w:trPr>
        <w:tc>
          <w:tcPr>
            <w:tcW w:w="1492" w:type="pct"/>
            <w:tcBorders>
              <w:top w:val="nil"/>
              <w:left w:val="nil"/>
              <w:bottom w:val="nil"/>
              <w:right w:val="nil"/>
            </w:tcBorders>
          </w:tcPr>
          <w:p w14:paraId="3C8C06BA" w14:textId="5C59A5A9" w:rsidR="00ED4DB1" w:rsidRPr="004E5BE2" w:rsidRDefault="00ED4DB1" w:rsidP="00ED4DB1">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Area of Operation</w:t>
            </w:r>
          </w:p>
        </w:tc>
        <w:tc>
          <w:tcPr>
            <w:tcW w:w="1256" w:type="pct"/>
            <w:tcBorders>
              <w:top w:val="nil"/>
              <w:left w:val="nil"/>
              <w:bottom w:val="nil"/>
              <w:right w:val="nil"/>
            </w:tcBorders>
          </w:tcPr>
          <w:p w14:paraId="62EAE503" w14:textId="77777777" w:rsidR="00ED4DB1" w:rsidRPr="004E5BE2" w:rsidRDefault="00ED4DB1" w:rsidP="00ED4DB1">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68607CF4" w14:textId="77777777" w:rsidR="00ED4DB1" w:rsidRPr="006E2913" w:rsidRDefault="00ED4DB1" w:rsidP="00ED4DB1">
            <w:pPr>
              <w:jc w:val="right"/>
              <w:rPr>
                <w:rFonts w:ascii="Times New Roman" w:hAnsi="Times New Roman" w:cs="Times New Roman"/>
              </w:rPr>
            </w:pPr>
          </w:p>
        </w:tc>
        <w:tc>
          <w:tcPr>
            <w:tcW w:w="550" w:type="pct"/>
            <w:tcBorders>
              <w:top w:val="nil"/>
              <w:left w:val="nil"/>
              <w:bottom w:val="nil"/>
              <w:right w:val="nil"/>
            </w:tcBorders>
          </w:tcPr>
          <w:p w14:paraId="58A686D0" w14:textId="77777777" w:rsidR="00ED4DB1" w:rsidRPr="006E2913" w:rsidRDefault="00ED4DB1" w:rsidP="00ED4DB1">
            <w:pPr>
              <w:jc w:val="right"/>
              <w:rPr>
                <w:rFonts w:ascii="Times New Roman" w:hAnsi="Times New Roman" w:cs="Times New Roman"/>
              </w:rPr>
            </w:pPr>
          </w:p>
        </w:tc>
        <w:tc>
          <w:tcPr>
            <w:tcW w:w="549" w:type="pct"/>
            <w:tcBorders>
              <w:top w:val="nil"/>
              <w:left w:val="nil"/>
              <w:bottom w:val="nil"/>
              <w:right w:val="nil"/>
            </w:tcBorders>
          </w:tcPr>
          <w:p w14:paraId="078EC22B" w14:textId="77777777" w:rsidR="00ED4DB1" w:rsidRPr="006E2913" w:rsidRDefault="00ED4DB1" w:rsidP="00ED4DB1">
            <w:pPr>
              <w:jc w:val="right"/>
              <w:rPr>
                <w:rFonts w:ascii="Times New Roman" w:hAnsi="Times New Roman" w:cs="Times New Roman"/>
              </w:rPr>
            </w:pPr>
          </w:p>
        </w:tc>
        <w:tc>
          <w:tcPr>
            <w:tcW w:w="524" w:type="pct"/>
            <w:tcBorders>
              <w:top w:val="nil"/>
              <w:left w:val="nil"/>
              <w:bottom w:val="nil"/>
              <w:right w:val="nil"/>
            </w:tcBorders>
          </w:tcPr>
          <w:p w14:paraId="0ABB8E9E" w14:textId="77777777" w:rsidR="00ED4DB1" w:rsidRPr="006E2913" w:rsidRDefault="00ED4DB1" w:rsidP="00ED4DB1">
            <w:pPr>
              <w:jc w:val="right"/>
              <w:rPr>
                <w:rFonts w:ascii="Times New Roman" w:hAnsi="Times New Roman" w:cs="Times New Roman"/>
              </w:rPr>
            </w:pPr>
          </w:p>
        </w:tc>
      </w:tr>
      <w:tr w:rsidR="00ED4DB1" w:rsidRPr="004E5BE2" w14:paraId="2B580A99" w14:textId="77777777" w:rsidTr="00A85E55">
        <w:trPr>
          <w:trHeight w:val="227"/>
        </w:trPr>
        <w:tc>
          <w:tcPr>
            <w:tcW w:w="1492" w:type="pct"/>
            <w:tcBorders>
              <w:top w:val="nil"/>
              <w:left w:val="nil"/>
              <w:bottom w:val="nil"/>
              <w:right w:val="nil"/>
            </w:tcBorders>
          </w:tcPr>
          <w:p w14:paraId="70254663" w14:textId="77777777" w:rsidR="00ED4DB1" w:rsidRPr="004E5BE2" w:rsidRDefault="00ED4DB1" w:rsidP="00ED4DB1">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610A4524" w14:textId="76353DA0" w:rsidR="00ED4DB1" w:rsidRPr="004E5BE2" w:rsidRDefault="00ED4DB1" w:rsidP="00ED4DB1">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Local</w:t>
            </w:r>
          </w:p>
        </w:tc>
        <w:tc>
          <w:tcPr>
            <w:tcW w:w="628" w:type="pct"/>
            <w:tcBorders>
              <w:top w:val="nil"/>
              <w:left w:val="nil"/>
              <w:bottom w:val="nil"/>
              <w:right w:val="nil"/>
            </w:tcBorders>
          </w:tcPr>
          <w:p w14:paraId="620B559C" w14:textId="738A1F47" w:rsidR="00ED4DB1" w:rsidRPr="006E2913" w:rsidRDefault="00ED4DB1" w:rsidP="00ED4DB1">
            <w:pPr>
              <w:jc w:val="right"/>
              <w:rPr>
                <w:rFonts w:ascii="Times New Roman" w:hAnsi="Times New Roman" w:cs="Times New Roman"/>
              </w:rPr>
            </w:pPr>
            <w:r w:rsidRPr="006E2913">
              <w:rPr>
                <w:rFonts w:ascii="Times New Roman" w:hAnsi="Times New Roman" w:cs="Times New Roman"/>
              </w:rPr>
              <w:t>Ref.</w:t>
            </w:r>
          </w:p>
        </w:tc>
        <w:tc>
          <w:tcPr>
            <w:tcW w:w="550" w:type="pct"/>
            <w:tcBorders>
              <w:top w:val="nil"/>
              <w:left w:val="nil"/>
              <w:bottom w:val="nil"/>
              <w:right w:val="nil"/>
            </w:tcBorders>
          </w:tcPr>
          <w:p w14:paraId="67E03236" w14:textId="14DEE640" w:rsidR="00ED4DB1" w:rsidRPr="006E2913" w:rsidRDefault="00ED4DB1" w:rsidP="00ED4DB1">
            <w:pPr>
              <w:jc w:val="right"/>
              <w:rPr>
                <w:rFonts w:ascii="Times New Roman" w:hAnsi="Times New Roman" w:cs="Times New Roman"/>
              </w:rPr>
            </w:pPr>
            <w:r w:rsidRPr="006E2913">
              <w:rPr>
                <w:rFonts w:ascii="Times New Roman" w:hAnsi="Times New Roman" w:cs="Times New Roman"/>
              </w:rPr>
              <w:t>–</w:t>
            </w:r>
          </w:p>
        </w:tc>
        <w:tc>
          <w:tcPr>
            <w:tcW w:w="549" w:type="pct"/>
            <w:tcBorders>
              <w:top w:val="nil"/>
              <w:left w:val="nil"/>
              <w:bottom w:val="nil"/>
              <w:right w:val="nil"/>
            </w:tcBorders>
          </w:tcPr>
          <w:p w14:paraId="1EF33B14" w14:textId="4633D7AD" w:rsidR="00ED4DB1" w:rsidRPr="006E2913" w:rsidRDefault="00ED4DB1" w:rsidP="00ED4DB1">
            <w:pPr>
              <w:jc w:val="right"/>
              <w:rPr>
                <w:rFonts w:ascii="Times New Roman" w:hAnsi="Times New Roman" w:cs="Times New Roman"/>
              </w:rPr>
            </w:pPr>
            <w:r w:rsidRPr="006E2913">
              <w:rPr>
                <w:rFonts w:ascii="Times New Roman" w:hAnsi="Times New Roman" w:cs="Times New Roman"/>
              </w:rPr>
              <w:t>–</w:t>
            </w:r>
          </w:p>
        </w:tc>
        <w:tc>
          <w:tcPr>
            <w:tcW w:w="524" w:type="pct"/>
            <w:tcBorders>
              <w:top w:val="nil"/>
              <w:left w:val="nil"/>
              <w:bottom w:val="nil"/>
              <w:right w:val="nil"/>
            </w:tcBorders>
          </w:tcPr>
          <w:p w14:paraId="742E3299" w14:textId="4DE5EB0D" w:rsidR="00ED4DB1" w:rsidRPr="006E2913" w:rsidRDefault="00ED4DB1" w:rsidP="00ED4DB1">
            <w:pPr>
              <w:jc w:val="right"/>
              <w:rPr>
                <w:rFonts w:ascii="Times New Roman" w:hAnsi="Times New Roman" w:cs="Times New Roman"/>
              </w:rPr>
            </w:pPr>
            <w:r w:rsidRPr="006E2913">
              <w:rPr>
                <w:rFonts w:ascii="Times New Roman" w:hAnsi="Times New Roman" w:cs="Times New Roman"/>
              </w:rPr>
              <w:t>–</w:t>
            </w:r>
          </w:p>
        </w:tc>
      </w:tr>
      <w:tr w:rsidR="00ED4DB1" w:rsidRPr="004E5BE2" w14:paraId="3B191330" w14:textId="77777777" w:rsidTr="00A85E55">
        <w:trPr>
          <w:trHeight w:val="227"/>
        </w:trPr>
        <w:tc>
          <w:tcPr>
            <w:tcW w:w="1492" w:type="pct"/>
            <w:tcBorders>
              <w:top w:val="nil"/>
              <w:left w:val="nil"/>
              <w:bottom w:val="nil"/>
              <w:right w:val="nil"/>
            </w:tcBorders>
          </w:tcPr>
          <w:p w14:paraId="0047D6DB" w14:textId="77777777" w:rsidR="00ED4DB1" w:rsidRPr="004E5BE2" w:rsidRDefault="00ED4DB1" w:rsidP="00ED4DB1">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5F0A3B17" w14:textId="08773E73" w:rsidR="00ED4DB1" w:rsidRPr="004E5BE2" w:rsidRDefault="00ED4DB1" w:rsidP="00ED4DB1">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National</w:t>
            </w:r>
          </w:p>
        </w:tc>
        <w:tc>
          <w:tcPr>
            <w:tcW w:w="628" w:type="pct"/>
            <w:tcBorders>
              <w:top w:val="nil"/>
              <w:left w:val="nil"/>
              <w:bottom w:val="nil"/>
              <w:right w:val="nil"/>
            </w:tcBorders>
          </w:tcPr>
          <w:p w14:paraId="2689CFA7" w14:textId="61A36464" w:rsidR="00ED4DB1" w:rsidRPr="006E2913" w:rsidRDefault="00ED4DB1" w:rsidP="00ED4DB1">
            <w:pPr>
              <w:jc w:val="right"/>
              <w:rPr>
                <w:rFonts w:ascii="Times New Roman" w:hAnsi="Times New Roman" w:cs="Times New Roman"/>
              </w:rPr>
            </w:pPr>
            <w:r w:rsidRPr="006E2913">
              <w:rPr>
                <w:rFonts w:ascii="Times New Roman" w:hAnsi="Times New Roman" w:cs="Times New Roman"/>
              </w:rPr>
              <w:t>0.07</w:t>
            </w:r>
          </w:p>
        </w:tc>
        <w:tc>
          <w:tcPr>
            <w:tcW w:w="550" w:type="pct"/>
            <w:tcBorders>
              <w:top w:val="nil"/>
              <w:left w:val="nil"/>
              <w:bottom w:val="nil"/>
              <w:right w:val="nil"/>
            </w:tcBorders>
          </w:tcPr>
          <w:p w14:paraId="0FF009EB" w14:textId="544F4D62" w:rsidR="00ED4DB1" w:rsidRPr="006E2913" w:rsidRDefault="00ED4DB1" w:rsidP="00ED4DB1">
            <w:pPr>
              <w:jc w:val="right"/>
              <w:rPr>
                <w:rFonts w:ascii="Times New Roman" w:hAnsi="Times New Roman" w:cs="Times New Roman"/>
              </w:rPr>
            </w:pPr>
            <w:r w:rsidRPr="006E2913">
              <w:rPr>
                <w:rFonts w:ascii="Times New Roman" w:hAnsi="Times New Roman" w:cs="Times New Roman"/>
              </w:rPr>
              <w:t>0.06</w:t>
            </w:r>
          </w:p>
        </w:tc>
        <w:tc>
          <w:tcPr>
            <w:tcW w:w="549" w:type="pct"/>
            <w:tcBorders>
              <w:top w:val="nil"/>
              <w:left w:val="nil"/>
              <w:bottom w:val="nil"/>
              <w:right w:val="nil"/>
            </w:tcBorders>
          </w:tcPr>
          <w:p w14:paraId="06B94475" w14:textId="01588884" w:rsidR="00ED4DB1" w:rsidRPr="006E2913" w:rsidRDefault="00ED4DB1" w:rsidP="00ED4DB1">
            <w:pPr>
              <w:jc w:val="right"/>
              <w:rPr>
                <w:rFonts w:ascii="Times New Roman" w:hAnsi="Times New Roman" w:cs="Times New Roman"/>
              </w:rPr>
            </w:pPr>
            <w:r w:rsidRPr="006E2913">
              <w:rPr>
                <w:rFonts w:ascii="Times New Roman" w:hAnsi="Times New Roman" w:cs="Times New Roman"/>
              </w:rPr>
              <w:t>-0.04</w:t>
            </w:r>
          </w:p>
        </w:tc>
        <w:tc>
          <w:tcPr>
            <w:tcW w:w="524" w:type="pct"/>
            <w:tcBorders>
              <w:top w:val="nil"/>
              <w:left w:val="nil"/>
              <w:bottom w:val="nil"/>
              <w:right w:val="nil"/>
            </w:tcBorders>
          </w:tcPr>
          <w:p w14:paraId="0C83E5F1" w14:textId="3C79D03F" w:rsidR="00ED4DB1" w:rsidRPr="006E2913" w:rsidRDefault="00ED4DB1" w:rsidP="00ED4DB1">
            <w:pPr>
              <w:jc w:val="right"/>
              <w:rPr>
                <w:rFonts w:ascii="Times New Roman" w:hAnsi="Times New Roman" w:cs="Times New Roman"/>
              </w:rPr>
            </w:pPr>
            <w:r w:rsidRPr="006E2913">
              <w:rPr>
                <w:rFonts w:ascii="Times New Roman" w:hAnsi="Times New Roman" w:cs="Times New Roman"/>
              </w:rPr>
              <w:t>0.18</w:t>
            </w:r>
          </w:p>
        </w:tc>
      </w:tr>
      <w:tr w:rsidR="00ED4DB1" w:rsidRPr="004E5BE2" w14:paraId="792571CE" w14:textId="77777777" w:rsidTr="00A85E55">
        <w:trPr>
          <w:trHeight w:val="227"/>
        </w:trPr>
        <w:tc>
          <w:tcPr>
            <w:tcW w:w="1492" w:type="pct"/>
            <w:tcBorders>
              <w:top w:val="nil"/>
              <w:left w:val="nil"/>
              <w:bottom w:val="nil"/>
              <w:right w:val="nil"/>
            </w:tcBorders>
          </w:tcPr>
          <w:p w14:paraId="05C88B3D" w14:textId="77777777" w:rsidR="00ED4DB1" w:rsidRPr="004E5BE2" w:rsidRDefault="00ED4DB1" w:rsidP="00ED4DB1">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79926133" w14:textId="2836E5BE" w:rsidR="00ED4DB1" w:rsidRPr="004E5BE2" w:rsidRDefault="00ED4DB1" w:rsidP="00ED4DB1">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International</w:t>
            </w:r>
          </w:p>
        </w:tc>
        <w:tc>
          <w:tcPr>
            <w:tcW w:w="628" w:type="pct"/>
            <w:tcBorders>
              <w:top w:val="nil"/>
              <w:left w:val="nil"/>
              <w:bottom w:val="nil"/>
              <w:right w:val="nil"/>
            </w:tcBorders>
          </w:tcPr>
          <w:p w14:paraId="7FA7CAA6" w14:textId="5D187BB2" w:rsidR="00ED4DB1" w:rsidRPr="006E2913" w:rsidRDefault="00ED4DB1" w:rsidP="00ED4DB1">
            <w:pPr>
              <w:jc w:val="right"/>
              <w:rPr>
                <w:rFonts w:ascii="Times New Roman" w:hAnsi="Times New Roman" w:cs="Times New Roman"/>
              </w:rPr>
            </w:pPr>
            <w:r w:rsidRPr="006E2913">
              <w:rPr>
                <w:rFonts w:ascii="Times New Roman" w:hAnsi="Times New Roman" w:cs="Times New Roman"/>
              </w:rPr>
              <w:t>-0.01</w:t>
            </w:r>
          </w:p>
        </w:tc>
        <w:tc>
          <w:tcPr>
            <w:tcW w:w="550" w:type="pct"/>
            <w:tcBorders>
              <w:top w:val="nil"/>
              <w:left w:val="nil"/>
              <w:bottom w:val="nil"/>
              <w:right w:val="nil"/>
            </w:tcBorders>
          </w:tcPr>
          <w:p w14:paraId="63163C83" w14:textId="0F4E350F" w:rsidR="00ED4DB1" w:rsidRPr="006E2913" w:rsidRDefault="00ED4DB1" w:rsidP="00ED4DB1">
            <w:pPr>
              <w:jc w:val="right"/>
              <w:rPr>
                <w:rFonts w:ascii="Times New Roman" w:hAnsi="Times New Roman" w:cs="Times New Roman"/>
              </w:rPr>
            </w:pPr>
            <w:r w:rsidRPr="006E2913">
              <w:rPr>
                <w:rFonts w:ascii="Times New Roman" w:hAnsi="Times New Roman" w:cs="Times New Roman"/>
              </w:rPr>
              <w:t>0.10</w:t>
            </w:r>
          </w:p>
        </w:tc>
        <w:tc>
          <w:tcPr>
            <w:tcW w:w="549" w:type="pct"/>
            <w:tcBorders>
              <w:top w:val="nil"/>
              <w:left w:val="nil"/>
              <w:bottom w:val="nil"/>
              <w:right w:val="nil"/>
            </w:tcBorders>
          </w:tcPr>
          <w:p w14:paraId="671C5151" w14:textId="46562850" w:rsidR="00ED4DB1" w:rsidRPr="006E2913" w:rsidRDefault="00ED4DB1" w:rsidP="00ED4DB1">
            <w:pPr>
              <w:jc w:val="right"/>
              <w:rPr>
                <w:rFonts w:ascii="Times New Roman" w:hAnsi="Times New Roman" w:cs="Times New Roman"/>
              </w:rPr>
            </w:pPr>
            <w:r w:rsidRPr="006E2913">
              <w:rPr>
                <w:rFonts w:ascii="Times New Roman" w:hAnsi="Times New Roman" w:cs="Times New Roman"/>
              </w:rPr>
              <w:t>-0.21</w:t>
            </w:r>
          </w:p>
        </w:tc>
        <w:tc>
          <w:tcPr>
            <w:tcW w:w="524" w:type="pct"/>
            <w:tcBorders>
              <w:top w:val="nil"/>
              <w:left w:val="nil"/>
              <w:bottom w:val="nil"/>
              <w:right w:val="nil"/>
            </w:tcBorders>
          </w:tcPr>
          <w:p w14:paraId="44688790" w14:textId="725550D0" w:rsidR="00ED4DB1" w:rsidRPr="006E2913" w:rsidRDefault="00ED4DB1" w:rsidP="00ED4DB1">
            <w:pPr>
              <w:jc w:val="right"/>
              <w:rPr>
                <w:rFonts w:ascii="Times New Roman" w:hAnsi="Times New Roman" w:cs="Times New Roman"/>
              </w:rPr>
            </w:pPr>
            <w:r w:rsidRPr="006E2913">
              <w:rPr>
                <w:rFonts w:ascii="Times New Roman" w:hAnsi="Times New Roman" w:cs="Times New Roman"/>
              </w:rPr>
              <w:t>0.20</w:t>
            </w:r>
          </w:p>
        </w:tc>
      </w:tr>
      <w:tr w:rsidR="00ED4DB1" w:rsidRPr="004E5BE2" w14:paraId="5D5A0431" w14:textId="77777777" w:rsidTr="00A85E55">
        <w:trPr>
          <w:trHeight w:val="227"/>
        </w:trPr>
        <w:tc>
          <w:tcPr>
            <w:tcW w:w="1492" w:type="pct"/>
            <w:tcBorders>
              <w:top w:val="nil"/>
              <w:left w:val="nil"/>
              <w:bottom w:val="nil"/>
              <w:right w:val="nil"/>
            </w:tcBorders>
          </w:tcPr>
          <w:p w14:paraId="16C1735B" w14:textId="77777777" w:rsidR="00ED4DB1" w:rsidRPr="004E5BE2" w:rsidRDefault="00ED4DB1" w:rsidP="00ED4DB1">
            <w:pPr>
              <w:widowControl w:val="0"/>
              <w:tabs>
                <w:tab w:val="left" w:pos="1845"/>
              </w:tabs>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i/>
              </w:rPr>
              <w:t>n</w:t>
            </w:r>
          </w:p>
        </w:tc>
        <w:tc>
          <w:tcPr>
            <w:tcW w:w="1256" w:type="pct"/>
            <w:tcBorders>
              <w:top w:val="nil"/>
              <w:left w:val="nil"/>
              <w:bottom w:val="nil"/>
              <w:right w:val="nil"/>
            </w:tcBorders>
          </w:tcPr>
          <w:p w14:paraId="16731898" w14:textId="77777777" w:rsidR="00ED4DB1" w:rsidRPr="004E5BE2" w:rsidRDefault="00ED4DB1" w:rsidP="00ED4DB1">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58832AFA" w14:textId="42B4481C" w:rsidR="00ED4DB1" w:rsidRPr="006E2913" w:rsidRDefault="00ED4DB1" w:rsidP="00ED4DB1">
            <w:pPr>
              <w:widowControl w:val="0"/>
              <w:autoSpaceDE w:val="0"/>
              <w:autoSpaceDN w:val="0"/>
              <w:adjustRightInd w:val="0"/>
              <w:spacing w:line="240" w:lineRule="auto"/>
              <w:jc w:val="center"/>
              <w:rPr>
                <w:rFonts w:ascii="Times New Roman" w:hAnsi="Times New Roman" w:cs="Times New Roman"/>
              </w:rPr>
            </w:pPr>
            <w:r w:rsidRPr="00ED4DB1">
              <w:rPr>
                <w:rFonts w:ascii="Times New Roman" w:hAnsi="Times New Roman" w:cs="Times New Roman"/>
              </w:rPr>
              <w:t>29,458</w:t>
            </w:r>
          </w:p>
        </w:tc>
        <w:tc>
          <w:tcPr>
            <w:tcW w:w="549" w:type="pct"/>
            <w:tcBorders>
              <w:top w:val="nil"/>
              <w:left w:val="nil"/>
              <w:bottom w:val="nil"/>
              <w:right w:val="nil"/>
            </w:tcBorders>
          </w:tcPr>
          <w:p w14:paraId="3B1495A8" w14:textId="77777777" w:rsidR="00ED4DB1" w:rsidRPr="006E2913" w:rsidRDefault="00ED4DB1" w:rsidP="00ED4DB1">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1FBE29E5" w14:textId="77777777" w:rsidR="00ED4DB1" w:rsidRPr="006E2913" w:rsidRDefault="00ED4DB1" w:rsidP="00ED4DB1">
            <w:pPr>
              <w:widowControl w:val="0"/>
              <w:autoSpaceDE w:val="0"/>
              <w:autoSpaceDN w:val="0"/>
              <w:adjustRightInd w:val="0"/>
              <w:spacing w:line="240" w:lineRule="auto"/>
              <w:jc w:val="right"/>
              <w:rPr>
                <w:rFonts w:ascii="Times New Roman" w:hAnsi="Times New Roman" w:cs="Times New Roman"/>
              </w:rPr>
            </w:pPr>
          </w:p>
        </w:tc>
      </w:tr>
      <w:tr w:rsidR="00ED4DB1" w:rsidRPr="004E5BE2" w14:paraId="33FE80A0" w14:textId="77777777" w:rsidTr="00A85E55">
        <w:tblPrEx>
          <w:tblBorders>
            <w:bottom w:val="single" w:sz="6" w:space="0" w:color="auto"/>
          </w:tblBorders>
        </w:tblPrEx>
        <w:trPr>
          <w:trHeight w:val="227"/>
        </w:trPr>
        <w:tc>
          <w:tcPr>
            <w:tcW w:w="1492" w:type="pct"/>
            <w:tcBorders>
              <w:top w:val="nil"/>
              <w:left w:val="nil"/>
              <w:bottom w:val="nil"/>
              <w:right w:val="nil"/>
            </w:tcBorders>
          </w:tcPr>
          <w:p w14:paraId="615FA903" w14:textId="77777777" w:rsidR="00ED4DB1" w:rsidRPr="004E5BE2" w:rsidRDefault="00ED4DB1" w:rsidP="00ED4DB1">
            <w:pPr>
              <w:widowControl w:val="0"/>
              <w:autoSpaceDE w:val="0"/>
              <w:autoSpaceDN w:val="0"/>
              <w:adjustRightInd w:val="0"/>
              <w:spacing w:line="240" w:lineRule="auto"/>
              <w:rPr>
                <w:rFonts w:ascii="Times New Roman" w:hAnsi="Times New Roman" w:cs="Times New Roman"/>
                <w:vertAlign w:val="superscript"/>
              </w:rPr>
            </w:pPr>
            <w:r w:rsidRPr="004E5BE2">
              <w:rPr>
                <w:rFonts w:ascii="Times New Roman" w:hAnsi="Times New Roman" w:cs="Times New Roman"/>
              </w:rPr>
              <w:t>McFadden’s adjusted R</w:t>
            </w:r>
            <w:r w:rsidRPr="004E5BE2">
              <w:rPr>
                <w:rFonts w:ascii="Times New Roman" w:hAnsi="Times New Roman" w:cs="Times New Roman"/>
                <w:vertAlign w:val="superscript"/>
              </w:rPr>
              <w:t>2</w:t>
            </w:r>
          </w:p>
        </w:tc>
        <w:tc>
          <w:tcPr>
            <w:tcW w:w="1256" w:type="pct"/>
            <w:tcBorders>
              <w:top w:val="nil"/>
              <w:left w:val="nil"/>
              <w:bottom w:val="nil"/>
              <w:right w:val="nil"/>
            </w:tcBorders>
          </w:tcPr>
          <w:p w14:paraId="2DE3B06F" w14:textId="77777777" w:rsidR="00ED4DB1" w:rsidRPr="004E5BE2" w:rsidRDefault="00ED4DB1" w:rsidP="00ED4DB1">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12F44BB9" w14:textId="77777777" w:rsidR="00ED4DB1" w:rsidRPr="006E2913" w:rsidRDefault="00ED4DB1" w:rsidP="00ED4DB1">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0.56</w:t>
            </w:r>
          </w:p>
        </w:tc>
        <w:tc>
          <w:tcPr>
            <w:tcW w:w="549" w:type="pct"/>
            <w:tcBorders>
              <w:top w:val="nil"/>
              <w:left w:val="nil"/>
              <w:bottom w:val="nil"/>
              <w:right w:val="nil"/>
            </w:tcBorders>
          </w:tcPr>
          <w:p w14:paraId="4109B0EE" w14:textId="77777777" w:rsidR="00ED4DB1" w:rsidRPr="006E2913" w:rsidRDefault="00ED4DB1" w:rsidP="00ED4DB1">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2BD56132" w14:textId="77777777" w:rsidR="00ED4DB1" w:rsidRPr="006E2913" w:rsidRDefault="00ED4DB1" w:rsidP="00ED4DB1">
            <w:pPr>
              <w:widowControl w:val="0"/>
              <w:autoSpaceDE w:val="0"/>
              <w:autoSpaceDN w:val="0"/>
              <w:adjustRightInd w:val="0"/>
              <w:spacing w:line="240" w:lineRule="auto"/>
              <w:jc w:val="right"/>
              <w:rPr>
                <w:rFonts w:ascii="Times New Roman" w:hAnsi="Times New Roman" w:cs="Times New Roman"/>
              </w:rPr>
            </w:pPr>
          </w:p>
        </w:tc>
      </w:tr>
      <w:tr w:rsidR="00ED4DB1" w:rsidRPr="004E5BE2" w14:paraId="08393B56" w14:textId="77777777" w:rsidTr="00A85E55">
        <w:tblPrEx>
          <w:tblBorders>
            <w:bottom w:val="single" w:sz="6" w:space="0" w:color="auto"/>
          </w:tblBorders>
        </w:tblPrEx>
        <w:trPr>
          <w:trHeight w:val="227"/>
        </w:trPr>
        <w:tc>
          <w:tcPr>
            <w:tcW w:w="1492" w:type="pct"/>
            <w:tcBorders>
              <w:top w:val="nil"/>
              <w:left w:val="nil"/>
              <w:bottom w:val="nil"/>
              <w:right w:val="nil"/>
            </w:tcBorders>
          </w:tcPr>
          <w:p w14:paraId="45993C36" w14:textId="77777777" w:rsidR="00ED4DB1" w:rsidRPr="004E5BE2" w:rsidRDefault="00ED4DB1" w:rsidP="00ED4DB1">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McKelvey and Zavoina’s R</w:t>
            </w:r>
            <w:r w:rsidRPr="004E5BE2">
              <w:rPr>
                <w:rFonts w:ascii="Times New Roman" w:hAnsi="Times New Roman" w:cs="Times New Roman"/>
                <w:vertAlign w:val="superscript"/>
              </w:rPr>
              <w:t>2</w:t>
            </w:r>
          </w:p>
        </w:tc>
        <w:tc>
          <w:tcPr>
            <w:tcW w:w="1256" w:type="pct"/>
            <w:tcBorders>
              <w:top w:val="nil"/>
              <w:left w:val="nil"/>
              <w:bottom w:val="nil"/>
              <w:right w:val="nil"/>
            </w:tcBorders>
          </w:tcPr>
          <w:p w14:paraId="22A7C567" w14:textId="77777777" w:rsidR="00ED4DB1" w:rsidRPr="004E5BE2" w:rsidRDefault="00ED4DB1" w:rsidP="00ED4DB1">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194CB578" w14:textId="77777777" w:rsidR="00ED4DB1" w:rsidRPr="006E2913" w:rsidRDefault="00ED4DB1" w:rsidP="00ED4DB1">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0.60</w:t>
            </w:r>
          </w:p>
        </w:tc>
        <w:tc>
          <w:tcPr>
            <w:tcW w:w="549" w:type="pct"/>
            <w:tcBorders>
              <w:top w:val="nil"/>
              <w:left w:val="nil"/>
              <w:bottom w:val="nil"/>
              <w:right w:val="nil"/>
            </w:tcBorders>
          </w:tcPr>
          <w:p w14:paraId="2EDA8726" w14:textId="77777777" w:rsidR="00ED4DB1" w:rsidRPr="006E2913" w:rsidRDefault="00ED4DB1" w:rsidP="00ED4DB1">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107F8C62" w14:textId="77777777" w:rsidR="00ED4DB1" w:rsidRPr="006E2913" w:rsidRDefault="00ED4DB1" w:rsidP="00ED4DB1">
            <w:pPr>
              <w:widowControl w:val="0"/>
              <w:autoSpaceDE w:val="0"/>
              <w:autoSpaceDN w:val="0"/>
              <w:adjustRightInd w:val="0"/>
              <w:spacing w:line="240" w:lineRule="auto"/>
              <w:jc w:val="right"/>
              <w:rPr>
                <w:rFonts w:ascii="Times New Roman" w:hAnsi="Times New Roman" w:cs="Times New Roman"/>
              </w:rPr>
            </w:pPr>
          </w:p>
        </w:tc>
      </w:tr>
      <w:tr w:rsidR="00ED4DB1" w:rsidRPr="004E5BE2" w14:paraId="048DC8BA" w14:textId="77777777" w:rsidTr="00A85E55">
        <w:tblPrEx>
          <w:tblBorders>
            <w:bottom w:val="single" w:sz="6" w:space="0" w:color="auto"/>
          </w:tblBorders>
        </w:tblPrEx>
        <w:trPr>
          <w:trHeight w:val="227"/>
        </w:trPr>
        <w:tc>
          <w:tcPr>
            <w:tcW w:w="1492" w:type="pct"/>
            <w:tcBorders>
              <w:top w:val="nil"/>
              <w:left w:val="nil"/>
              <w:bottom w:val="nil"/>
              <w:right w:val="nil"/>
            </w:tcBorders>
          </w:tcPr>
          <w:p w14:paraId="16A5FA68" w14:textId="77777777" w:rsidR="00ED4DB1" w:rsidRPr="004E5BE2" w:rsidRDefault="00ED4DB1" w:rsidP="00ED4DB1">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Cragg and Uhler’s R</w:t>
            </w:r>
            <w:r w:rsidRPr="004E5BE2">
              <w:rPr>
                <w:rFonts w:ascii="Times New Roman" w:hAnsi="Times New Roman" w:cs="Times New Roman"/>
                <w:vertAlign w:val="superscript"/>
              </w:rPr>
              <w:t>2</w:t>
            </w:r>
          </w:p>
        </w:tc>
        <w:tc>
          <w:tcPr>
            <w:tcW w:w="1256" w:type="pct"/>
            <w:tcBorders>
              <w:top w:val="nil"/>
              <w:left w:val="nil"/>
              <w:bottom w:val="nil"/>
              <w:right w:val="nil"/>
            </w:tcBorders>
          </w:tcPr>
          <w:p w14:paraId="7884290A" w14:textId="77777777" w:rsidR="00ED4DB1" w:rsidRPr="004E5BE2" w:rsidRDefault="00ED4DB1" w:rsidP="00ED4DB1">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01276CDB" w14:textId="77777777" w:rsidR="00ED4DB1" w:rsidRPr="006E2913" w:rsidRDefault="00ED4DB1" w:rsidP="00ED4DB1">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0.67</w:t>
            </w:r>
          </w:p>
        </w:tc>
        <w:tc>
          <w:tcPr>
            <w:tcW w:w="549" w:type="pct"/>
            <w:tcBorders>
              <w:top w:val="nil"/>
              <w:left w:val="nil"/>
              <w:bottom w:val="nil"/>
              <w:right w:val="nil"/>
            </w:tcBorders>
          </w:tcPr>
          <w:p w14:paraId="6087C9B9" w14:textId="77777777" w:rsidR="00ED4DB1" w:rsidRPr="006E2913" w:rsidRDefault="00ED4DB1" w:rsidP="00ED4DB1">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5452B8F1" w14:textId="77777777" w:rsidR="00ED4DB1" w:rsidRPr="006E2913" w:rsidRDefault="00ED4DB1" w:rsidP="00ED4DB1">
            <w:pPr>
              <w:widowControl w:val="0"/>
              <w:autoSpaceDE w:val="0"/>
              <w:autoSpaceDN w:val="0"/>
              <w:adjustRightInd w:val="0"/>
              <w:spacing w:line="240" w:lineRule="auto"/>
              <w:jc w:val="right"/>
              <w:rPr>
                <w:rFonts w:ascii="Times New Roman" w:hAnsi="Times New Roman" w:cs="Times New Roman"/>
              </w:rPr>
            </w:pPr>
          </w:p>
        </w:tc>
      </w:tr>
      <w:tr w:rsidR="00ED4DB1" w:rsidRPr="004E5BE2" w14:paraId="69312527" w14:textId="77777777" w:rsidTr="00A85E55">
        <w:tblPrEx>
          <w:tblBorders>
            <w:bottom w:val="single" w:sz="6" w:space="0" w:color="auto"/>
          </w:tblBorders>
        </w:tblPrEx>
        <w:trPr>
          <w:trHeight w:val="227"/>
        </w:trPr>
        <w:tc>
          <w:tcPr>
            <w:tcW w:w="1492" w:type="pct"/>
            <w:tcBorders>
              <w:top w:val="nil"/>
              <w:left w:val="nil"/>
              <w:bottom w:val="single" w:sz="4" w:space="0" w:color="auto"/>
              <w:right w:val="nil"/>
            </w:tcBorders>
          </w:tcPr>
          <w:p w14:paraId="4E5A2C82" w14:textId="77777777" w:rsidR="00ED4DB1" w:rsidRPr="004E5BE2" w:rsidRDefault="00ED4DB1" w:rsidP="00ED4DB1">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BIC full model</w:t>
            </w:r>
          </w:p>
        </w:tc>
        <w:tc>
          <w:tcPr>
            <w:tcW w:w="1256" w:type="pct"/>
            <w:tcBorders>
              <w:top w:val="nil"/>
              <w:left w:val="nil"/>
              <w:bottom w:val="single" w:sz="4" w:space="0" w:color="auto"/>
              <w:right w:val="nil"/>
            </w:tcBorders>
          </w:tcPr>
          <w:p w14:paraId="746A661E" w14:textId="77777777" w:rsidR="00ED4DB1" w:rsidRPr="004E5BE2" w:rsidRDefault="00ED4DB1" w:rsidP="00ED4DB1">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single" w:sz="4" w:space="0" w:color="auto"/>
              <w:right w:val="nil"/>
            </w:tcBorders>
          </w:tcPr>
          <w:p w14:paraId="30DC8682" w14:textId="77777777" w:rsidR="00ED4DB1" w:rsidRPr="006E2913" w:rsidRDefault="00ED4DB1" w:rsidP="00ED4DB1">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14,536.67</w:t>
            </w:r>
          </w:p>
        </w:tc>
        <w:tc>
          <w:tcPr>
            <w:tcW w:w="549" w:type="pct"/>
            <w:tcBorders>
              <w:top w:val="nil"/>
              <w:left w:val="nil"/>
              <w:bottom w:val="single" w:sz="4" w:space="0" w:color="auto"/>
              <w:right w:val="nil"/>
            </w:tcBorders>
          </w:tcPr>
          <w:p w14:paraId="1720FB93" w14:textId="77777777" w:rsidR="00ED4DB1" w:rsidRPr="006E2913" w:rsidRDefault="00ED4DB1" w:rsidP="00ED4DB1">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single" w:sz="4" w:space="0" w:color="auto"/>
              <w:right w:val="nil"/>
            </w:tcBorders>
          </w:tcPr>
          <w:p w14:paraId="676001C7" w14:textId="77777777" w:rsidR="00ED4DB1" w:rsidRPr="006E2913" w:rsidRDefault="00ED4DB1" w:rsidP="00ED4DB1">
            <w:pPr>
              <w:widowControl w:val="0"/>
              <w:autoSpaceDE w:val="0"/>
              <w:autoSpaceDN w:val="0"/>
              <w:adjustRightInd w:val="0"/>
              <w:spacing w:line="240" w:lineRule="auto"/>
              <w:jc w:val="right"/>
              <w:rPr>
                <w:rFonts w:ascii="Times New Roman" w:hAnsi="Times New Roman" w:cs="Times New Roman"/>
              </w:rPr>
            </w:pPr>
          </w:p>
        </w:tc>
      </w:tr>
    </w:tbl>
    <w:p w14:paraId="7761D0B8" w14:textId="77FDCA7F" w:rsidR="00523A6D" w:rsidRPr="00001DA0" w:rsidRDefault="00EE0A76" w:rsidP="00001DA0">
      <w:pPr>
        <w:rPr>
          <w:rFonts w:ascii="Times New Roman" w:hAnsi="Times New Roman" w:cs="Times New Roman"/>
        </w:rPr>
      </w:pPr>
      <w:r w:rsidRPr="004E5BE2">
        <w:rPr>
          <w:rFonts w:ascii="Times New Roman" w:hAnsi="Times New Roman" w:cs="Times New Roman"/>
        </w:rPr>
        <w:t xml:space="preserve">Note: Figures rounded to two decimal places. Constant is omitted. </w:t>
      </w:r>
      <w:r w:rsidR="00C53521">
        <w:rPr>
          <w:rFonts w:ascii="Times New Roman" w:hAnsi="Times New Roman" w:cs="Times New Roman"/>
        </w:rPr>
        <w:t xml:space="preserve">CYP: Children and Young People. </w:t>
      </w:r>
      <w:r w:rsidRPr="004E5BE2">
        <w:rPr>
          <w:rFonts w:ascii="Times New Roman" w:hAnsi="Times New Roman" w:cs="Times New Roman"/>
        </w:rPr>
        <w:t xml:space="preserve">SE: robust standard errors; CI: confidence interval; Ref.: reference category; BIC: </w:t>
      </w:r>
      <w:r w:rsidR="00C53521">
        <w:rPr>
          <w:rFonts w:ascii="Times New Roman" w:hAnsi="Times New Roman" w:cs="Times New Roman"/>
        </w:rPr>
        <w:t xml:space="preserve">Bayesian </w:t>
      </w:r>
      <w:r w:rsidRPr="004E5BE2">
        <w:rPr>
          <w:rFonts w:ascii="Times New Roman" w:hAnsi="Times New Roman" w:cs="Times New Roman"/>
        </w:rPr>
        <w:t>Information Criterion.</w:t>
      </w:r>
      <w:r>
        <w:rPr>
          <w:rFonts w:ascii="Times New Roman" w:hAnsi="Times New Roman" w:cs="Times New Roman"/>
        </w:rPr>
        <w:t xml:space="preserve"> T</w:t>
      </w:r>
      <w:r w:rsidRPr="00BC0545">
        <w:rPr>
          <w:rFonts w:ascii="Times New Roman" w:hAnsi="Times New Roman" w:cs="Times New Roman"/>
        </w:rPr>
        <w:t xml:space="preserve">he </w:t>
      </w:r>
      <w:r>
        <w:rPr>
          <w:rFonts w:ascii="Times New Roman" w:hAnsi="Times New Roman" w:cs="Times New Roman"/>
        </w:rPr>
        <w:t>organisation type variable is statistically significant overall.</w:t>
      </w:r>
      <w:r w:rsidRPr="004E5BE2">
        <w:rPr>
          <w:rFonts w:ascii="Times New Roman" w:hAnsi="Times New Roman" w:cs="Times New Roman"/>
        </w:rPr>
        <w:t xml:space="preserve"> *p &lt; .05. **p &lt; .01. ***p &lt; .001.</w:t>
      </w:r>
    </w:p>
    <w:p w14:paraId="099F5DA5" w14:textId="781FF749" w:rsidR="00581068" w:rsidRDefault="00581068" w:rsidP="0059716A">
      <w:pPr>
        <w:spacing w:line="480" w:lineRule="auto"/>
        <w:rPr>
          <w:rFonts w:ascii="Times New Roman" w:hAnsi="Times New Roman" w:cs="Times New Roman"/>
          <w:sz w:val="24"/>
          <w:szCs w:val="24"/>
        </w:rPr>
      </w:pPr>
      <w:r>
        <w:rPr>
          <w:rFonts w:ascii="Times New Roman" w:hAnsi="Times New Roman" w:cs="Times New Roman"/>
          <w:sz w:val="24"/>
          <w:szCs w:val="24"/>
        </w:rPr>
        <w:t>We now consider our multinomial model of dissolution, where we are interested in whether the effects identified above vary significantly by type of dissolution.</w:t>
      </w:r>
      <w:r w:rsidR="00D17CB8">
        <w:rPr>
          <w:rFonts w:ascii="Times New Roman" w:hAnsi="Times New Roman" w:cs="Times New Roman"/>
          <w:sz w:val="24"/>
          <w:szCs w:val="24"/>
        </w:rPr>
        <w:t xml:space="preserve"> Figure 2 and Table 4</w:t>
      </w:r>
      <w:r w:rsidR="00001DA0">
        <w:rPr>
          <w:rFonts w:ascii="Times New Roman" w:hAnsi="Times New Roman" w:cs="Times New Roman"/>
          <w:sz w:val="24"/>
          <w:szCs w:val="24"/>
        </w:rPr>
        <w:t xml:space="preserve"> present the results of the multinomial regression. There is clear variation in the magnitude, and often sign, of the predictors across categories of dissolution. For example, the coefficient for operating internationally is positive for the outcome of voluntary removal, negative for the outcome of failure to file, and statistically significantly indistinguishable from zero for the outcome of winding up. Contrast this with the coefficient for this variable in the logistic </w:t>
      </w:r>
      <w:bookmarkStart w:id="0" w:name="_GoBack"/>
      <w:bookmarkEnd w:id="0"/>
      <w:r w:rsidR="00001DA0">
        <w:rPr>
          <w:rFonts w:ascii="Times New Roman" w:hAnsi="Times New Roman" w:cs="Times New Roman"/>
          <w:sz w:val="24"/>
          <w:szCs w:val="24"/>
        </w:rPr>
        <w:t xml:space="preserve">regression model, which estimates a negligible effect for the outcome of </w:t>
      </w:r>
      <w:r w:rsidR="000F2EA4">
        <w:rPr>
          <w:rFonts w:ascii="Times New Roman" w:hAnsi="Times New Roman" w:cs="Times New Roman"/>
          <w:sz w:val="24"/>
          <w:szCs w:val="24"/>
        </w:rPr>
        <w:t>deregistration</w:t>
      </w:r>
      <w:r w:rsidR="00001DA0">
        <w:rPr>
          <w:rFonts w:ascii="Times New Roman" w:hAnsi="Times New Roman" w:cs="Times New Roman"/>
          <w:sz w:val="24"/>
          <w:szCs w:val="24"/>
        </w:rPr>
        <w:t>.</w:t>
      </w:r>
    </w:p>
    <w:p w14:paraId="4888D83A" w14:textId="399E4634" w:rsidR="00C974A8" w:rsidRDefault="00C974A8" w:rsidP="0059716A">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Figure 2</w:t>
      </w:r>
      <w:r w:rsidRPr="00523A6D">
        <w:rPr>
          <w:rFonts w:ascii="Times New Roman" w:hAnsi="Times New Roman" w:cs="Times New Roman"/>
          <w:b/>
          <w:sz w:val="24"/>
          <w:szCs w:val="24"/>
        </w:rPr>
        <w:t>.</w:t>
      </w:r>
      <w:r>
        <w:rPr>
          <w:rFonts w:ascii="Times New Roman" w:hAnsi="Times New Roman" w:cs="Times New Roman"/>
          <w:sz w:val="24"/>
          <w:szCs w:val="24"/>
        </w:rPr>
        <w:t xml:space="preserve"> Regression Coefficients of Independent Variables, By Dissolution Type</w:t>
      </w:r>
    </w:p>
    <w:p w14:paraId="6AADFB2E" w14:textId="2198076C" w:rsidR="00E057B4" w:rsidRDefault="00AD6A25" w:rsidP="0059716A">
      <w:pPr>
        <w:spacing w:line="480" w:lineRule="auto"/>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60618A7B" wp14:editId="3F3BBFBB">
            <wp:extent cx="5731510" cy="41687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z_mlogit_orgdiss_othva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14:paraId="2FF68064" w14:textId="77777777" w:rsidR="00D17CB8" w:rsidRDefault="00D17CB8" w:rsidP="00E904EC">
      <w:pPr>
        <w:spacing w:line="480" w:lineRule="auto"/>
        <w:rPr>
          <w:rFonts w:ascii="Times New Roman" w:hAnsi="Times New Roman" w:cs="Times New Roman"/>
          <w:b/>
          <w:sz w:val="24"/>
          <w:szCs w:val="24"/>
        </w:rPr>
        <w:sectPr w:rsidR="00D17CB8" w:rsidSect="00AC328C">
          <w:footerReference w:type="default" r:id="rId10"/>
          <w:pgSz w:w="11906" w:h="16838"/>
          <w:pgMar w:top="1440" w:right="1440" w:bottom="1440" w:left="1440" w:header="708" w:footer="708" w:gutter="0"/>
          <w:cols w:space="708"/>
          <w:docGrid w:linePitch="360"/>
        </w:sectPr>
      </w:pPr>
    </w:p>
    <w:p w14:paraId="20EE4009" w14:textId="73376A50" w:rsidR="00E904EC" w:rsidRPr="00D17CB8" w:rsidRDefault="00E904EC" w:rsidP="00E904EC">
      <w:pPr>
        <w:spacing w:line="480" w:lineRule="auto"/>
        <w:rPr>
          <w:rFonts w:ascii="Times New Roman" w:hAnsi="Times New Roman" w:cs="Times New Roman"/>
          <w:sz w:val="24"/>
          <w:szCs w:val="24"/>
        </w:rPr>
      </w:pPr>
      <w:r w:rsidRPr="00D17CB8">
        <w:rPr>
          <w:rFonts w:ascii="Times New Roman" w:hAnsi="Times New Roman" w:cs="Times New Roman"/>
          <w:b/>
          <w:sz w:val="24"/>
          <w:szCs w:val="24"/>
        </w:rPr>
        <w:lastRenderedPageBreak/>
        <w:t xml:space="preserve">Table </w:t>
      </w:r>
      <w:r w:rsidR="00D17CB8" w:rsidRPr="00D17CB8">
        <w:rPr>
          <w:rFonts w:ascii="Times New Roman" w:hAnsi="Times New Roman" w:cs="Times New Roman"/>
          <w:b/>
          <w:sz w:val="24"/>
          <w:szCs w:val="24"/>
        </w:rPr>
        <w:t>4</w:t>
      </w:r>
      <w:r w:rsidRPr="00D17CB8">
        <w:rPr>
          <w:rFonts w:ascii="Times New Roman" w:hAnsi="Times New Roman" w:cs="Times New Roman"/>
          <w:b/>
          <w:sz w:val="24"/>
          <w:szCs w:val="24"/>
        </w:rPr>
        <w:t>.</w:t>
      </w:r>
      <w:r w:rsidRPr="00D17CB8">
        <w:rPr>
          <w:rFonts w:ascii="Times New Roman" w:hAnsi="Times New Roman" w:cs="Times New Roman"/>
          <w:sz w:val="24"/>
          <w:szCs w:val="24"/>
        </w:rPr>
        <w:t xml:space="preserve"> Results of Multinomial Regression on Outcome of Dissolution Type</w:t>
      </w:r>
    </w:p>
    <w:tbl>
      <w:tblPr>
        <w:tblW w:w="5000" w:type="pct"/>
        <w:tblCellMar>
          <w:left w:w="75" w:type="dxa"/>
          <w:right w:w="75" w:type="dxa"/>
        </w:tblCellMar>
        <w:tblLook w:val="0000" w:firstRow="0" w:lastRow="0" w:firstColumn="0" w:lastColumn="0" w:noHBand="0" w:noVBand="0"/>
      </w:tblPr>
      <w:tblGrid>
        <w:gridCol w:w="2959"/>
        <w:gridCol w:w="2395"/>
        <w:gridCol w:w="1399"/>
        <w:gridCol w:w="1401"/>
        <w:gridCol w:w="268"/>
        <w:gridCol w:w="1337"/>
        <w:gridCol w:w="1234"/>
        <w:gridCol w:w="240"/>
        <w:gridCol w:w="1399"/>
        <w:gridCol w:w="1326"/>
      </w:tblGrid>
      <w:tr w:rsidR="00E904EC" w:rsidRPr="00420412" w14:paraId="4262B02F" w14:textId="77777777" w:rsidTr="00667B1B">
        <w:trPr>
          <w:trHeight w:val="227"/>
        </w:trPr>
        <w:tc>
          <w:tcPr>
            <w:tcW w:w="1060" w:type="pct"/>
            <w:tcBorders>
              <w:top w:val="single" w:sz="4" w:space="0" w:color="auto"/>
              <w:left w:val="nil"/>
              <w:right w:val="nil"/>
            </w:tcBorders>
          </w:tcPr>
          <w:p w14:paraId="6F1B4CF8"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b/>
              </w:rPr>
            </w:pPr>
          </w:p>
        </w:tc>
        <w:tc>
          <w:tcPr>
            <w:tcW w:w="858" w:type="pct"/>
            <w:tcBorders>
              <w:top w:val="single" w:sz="4" w:space="0" w:color="auto"/>
              <w:left w:val="nil"/>
              <w:right w:val="nil"/>
            </w:tcBorders>
          </w:tcPr>
          <w:p w14:paraId="0564ACAD"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1003" w:type="pct"/>
            <w:gridSpan w:val="2"/>
            <w:tcBorders>
              <w:top w:val="single" w:sz="4" w:space="0" w:color="auto"/>
              <w:left w:val="nil"/>
              <w:bottom w:val="single" w:sz="6" w:space="0" w:color="auto"/>
              <w:right w:val="nil"/>
            </w:tcBorders>
          </w:tcPr>
          <w:p w14:paraId="02410F9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Failed to file</w:t>
            </w:r>
          </w:p>
        </w:tc>
        <w:tc>
          <w:tcPr>
            <w:tcW w:w="96" w:type="pct"/>
            <w:tcBorders>
              <w:top w:val="single" w:sz="4" w:space="0" w:color="auto"/>
              <w:left w:val="nil"/>
              <w:right w:val="nil"/>
            </w:tcBorders>
          </w:tcPr>
          <w:p w14:paraId="14FFC3D0"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921" w:type="pct"/>
            <w:gridSpan w:val="2"/>
            <w:tcBorders>
              <w:top w:val="single" w:sz="4" w:space="0" w:color="auto"/>
              <w:left w:val="nil"/>
              <w:bottom w:val="single" w:sz="6" w:space="0" w:color="auto"/>
              <w:right w:val="nil"/>
            </w:tcBorders>
          </w:tcPr>
          <w:p w14:paraId="3307BFA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Voluntary removal</w:t>
            </w:r>
          </w:p>
        </w:tc>
        <w:tc>
          <w:tcPr>
            <w:tcW w:w="86" w:type="pct"/>
            <w:tcBorders>
              <w:top w:val="single" w:sz="4" w:space="0" w:color="auto"/>
              <w:left w:val="nil"/>
              <w:right w:val="nil"/>
            </w:tcBorders>
          </w:tcPr>
          <w:p w14:paraId="4B4F75C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976" w:type="pct"/>
            <w:gridSpan w:val="2"/>
            <w:tcBorders>
              <w:top w:val="single" w:sz="4" w:space="0" w:color="auto"/>
              <w:left w:val="nil"/>
              <w:bottom w:val="single" w:sz="6" w:space="0" w:color="auto"/>
              <w:right w:val="nil"/>
            </w:tcBorders>
          </w:tcPr>
          <w:p w14:paraId="4265470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Wound up</w:t>
            </w:r>
          </w:p>
        </w:tc>
      </w:tr>
      <w:tr w:rsidR="00E904EC" w:rsidRPr="00420412" w14:paraId="4266D146" w14:textId="77777777" w:rsidTr="00667B1B">
        <w:trPr>
          <w:trHeight w:val="227"/>
        </w:trPr>
        <w:tc>
          <w:tcPr>
            <w:tcW w:w="1060" w:type="pct"/>
            <w:tcBorders>
              <w:left w:val="nil"/>
              <w:bottom w:val="single" w:sz="6" w:space="0" w:color="auto"/>
              <w:right w:val="nil"/>
            </w:tcBorders>
          </w:tcPr>
          <w:p w14:paraId="5F0DD05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b/>
              </w:rPr>
            </w:pPr>
          </w:p>
        </w:tc>
        <w:tc>
          <w:tcPr>
            <w:tcW w:w="858" w:type="pct"/>
            <w:tcBorders>
              <w:left w:val="nil"/>
              <w:bottom w:val="single" w:sz="6" w:space="0" w:color="auto"/>
              <w:right w:val="nil"/>
            </w:tcBorders>
          </w:tcPr>
          <w:p w14:paraId="2FFE8E92"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1" w:type="pct"/>
            <w:tcBorders>
              <w:left w:val="nil"/>
              <w:bottom w:val="single" w:sz="6" w:space="0" w:color="auto"/>
              <w:right w:val="nil"/>
            </w:tcBorders>
          </w:tcPr>
          <w:p w14:paraId="53B03F4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Log odds</w:t>
            </w:r>
          </w:p>
        </w:tc>
        <w:tc>
          <w:tcPr>
            <w:tcW w:w="502" w:type="pct"/>
            <w:tcBorders>
              <w:left w:val="nil"/>
              <w:bottom w:val="single" w:sz="6" w:space="0" w:color="auto"/>
              <w:right w:val="nil"/>
            </w:tcBorders>
          </w:tcPr>
          <w:p w14:paraId="2B7817C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SE</w:t>
            </w:r>
          </w:p>
        </w:tc>
        <w:tc>
          <w:tcPr>
            <w:tcW w:w="96" w:type="pct"/>
            <w:tcBorders>
              <w:left w:val="nil"/>
              <w:bottom w:val="single" w:sz="6" w:space="0" w:color="auto"/>
              <w:right w:val="nil"/>
            </w:tcBorders>
          </w:tcPr>
          <w:p w14:paraId="3935F63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single" w:sz="4" w:space="0" w:color="auto"/>
              <w:left w:val="nil"/>
              <w:bottom w:val="single" w:sz="6" w:space="0" w:color="auto"/>
              <w:right w:val="nil"/>
            </w:tcBorders>
          </w:tcPr>
          <w:p w14:paraId="6633F85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Log odds</w:t>
            </w:r>
          </w:p>
        </w:tc>
        <w:tc>
          <w:tcPr>
            <w:tcW w:w="442" w:type="pct"/>
            <w:tcBorders>
              <w:top w:val="single" w:sz="4" w:space="0" w:color="auto"/>
              <w:left w:val="nil"/>
              <w:bottom w:val="single" w:sz="6" w:space="0" w:color="auto"/>
              <w:right w:val="nil"/>
            </w:tcBorders>
          </w:tcPr>
          <w:p w14:paraId="72CB29A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SE</w:t>
            </w:r>
          </w:p>
        </w:tc>
        <w:tc>
          <w:tcPr>
            <w:tcW w:w="86" w:type="pct"/>
            <w:tcBorders>
              <w:left w:val="nil"/>
              <w:bottom w:val="single" w:sz="6" w:space="0" w:color="auto"/>
              <w:right w:val="nil"/>
            </w:tcBorders>
          </w:tcPr>
          <w:p w14:paraId="770AA64A"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single" w:sz="4" w:space="0" w:color="auto"/>
              <w:left w:val="nil"/>
              <w:bottom w:val="single" w:sz="6" w:space="0" w:color="auto"/>
              <w:right w:val="nil"/>
            </w:tcBorders>
          </w:tcPr>
          <w:p w14:paraId="6E9A59F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Log odds</w:t>
            </w:r>
          </w:p>
        </w:tc>
        <w:tc>
          <w:tcPr>
            <w:tcW w:w="475" w:type="pct"/>
            <w:tcBorders>
              <w:top w:val="single" w:sz="4" w:space="0" w:color="auto"/>
              <w:left w:val="nil"/>
              <w:bottom w:val="single" w:sz="6" w:space="0" w:color="auto"/>
              <w:right w:val="nil"/>
            </w:tcBorders>
          </w:tcPr>
          <w:p w14:paraId="327B61E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SE</w:t>
            </w:r>
          </w:p>
        </w:tc>
      </w:tr>
      <w:tr w:rsidR="00E904EC" w:rsidRPr="00420412" w14:paraId="1C716EB4" w14:textId="77777777" w:rsidTr="00667B1B">
        <w:trPr>
          <w:trHeight w:val="227"/>
        </w:trPr>
        <w:tc>
          <w:tcPr>
            <w:tcW w:w="1060" w:type="pct"/>
            <w:tcBorders>
              <w:top w:val="nil"/>
              <w:left w:val="nil"/>
              <w:bottom w:val="nil"/>
              <w:right w:val="nil"/>
            </w:tcBorders>
          </w:tcPr>
          <w:p w14:paraId="7D7750C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b/>
                <w:i/>
              </w:rPr>
            </w:pPr>
            <w:r w:rsidRPr="00420412">
              <w:rPr>
                <w:rFonts w:ascii="Times New Roman" w:hAnsi="Times New Roman" w:cs="Times New Roman"/>
                <w:i/>
              </w:rPr>
              <w:t>Population Ecology</w:t>
            </w:r>
          </w:p>
        </w:tc>
        <w:tc>
          <w:tcPr>
            <w:tcW w:w="858" w:type="pct"/>
            <w:tcBorders>
              <w:top w:val="nil"/>
              <w:left w:val="nil"/>
              <w:bottom w:val="nil"/>
              <w:right w:val="nil"/>
            </w:tcBorders>
          </w:tcPr>
          <w:p w14:paraId="6562E724"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1" w:type="pct"/>
            <w:tcBorders>
              <w:top w:val="nil"/>
              <w:left w:val="nil"/>
              <w:bottom w:val="nil"/>
              <w:right w:val="nil"/>
            </w:tcBorders>
          </w:tcPr>
          <w:p w14:paraId="1E4A2BD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2" w:type="pct"/>
            <w:tcBorders>
              <w:top w:val="nil"/>
              <w:left w:val="nil"/>
              <w:bottom w:val="nil"/>
              <w:right w:val="nil"/>
            </w:tcBorders>
          </w:tcPr>
          <w:p w14:paraId="1E81AAA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96" w:type="pct"/>
            <w:tcBorders>
              <w:top w:val="nil"/>
              <w:left w:val="nil"/>
              <w:bottom w:val="nil"/>
              <w:right w:val="nil"/>
            </w:tcBorders>
          </w:tcPr>
          <w:p w14:paraId="6F7DB68A"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44D0CA7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2" w:type="pct"/>
            <w:tcBorders>
              <w:top w:val="nil"/>
              <w:left w:val="nil"/>
              <w:bottom w:val="nil"/>
              <w:right w:val="nil"/>
            </w:tcBorders>
          </w:tcPr>
          <w:p w14:paraId="18F3F44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86" w:type="pct"/>
            <w:tcBorders>
              <w:top w:val="nil"/>
              <w:left w:val="nil"/>
              <w:bottom w:val="nil"/>
              <w:right w:val="nil"/>
            </w:tcBorders>
          </w:tcPr>
          <w:p w14:paraId="61EFE2D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4ADF67F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5" w:type="pct"/>
            <w:tcBorders>
              <w:top w:val="nil"/>
              <w:left w:val="nil"/>
              <w:bottom w:val="nil"/>
              <w:right w:val="nil"/>
            </w:tcBorders>
          </w:tcPr>
          <w:p w14:paraId="77A5531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62BEF155" w14:textId="77777777" w:rsidTr="00667B1B">
        <w:trPr>
          <w:trHeight w:val="227"/>
        </w:trPr>
        <w:tc>
          <w:tcPr>
            <w:tcW w:w="1060" w:type="pct"/>
            <w:tcBorders>
              <w:top w:val="nil"/>
              <w:left w:val="nil"/>
              <w:bottom w:val="nil"/>
              <w:right w:val="nil"/>
            </w:tcBorders>
          </w:tcPr>
          <w:p w14:paraId="46B09EAC"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Size</w:t>
            </w:r>
          </w:p>
        </w:tc>
        <w:tc>
          <w:tcPr>
            <w:tcW w:w="858" w:type="pct"/>
            <w:tcBorders>
              <w:top w:val="nil"/>
              <w:left w:val="nil"/>
              <w:bottom w:val="nil"/>
              <w:right w:val="nil"/>
            </w:tcBorders>
          </w:tcPr>
          <w:p w14:paraId="00C3F791"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1" w:type="pct"/>
            <w:tcBorders>
              <w:top w:val="nil"/>
              <w:left w:val="nil"/>
              <w:bottom w:val="nil"/>
              <w:right w:val="nil"/>
            </w:tcBorders>
          </w:tcPr>
          <w:p w14:paraId="78FD294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-0.14***</w:t>
            </w:r>
          </w:p>
        </w:tc>
        <w:tc>
          <w:tcPr>
            <w:tcW w:w="502" w:type="pct"/>
            <w:tcBorders>
              <w:top w:val="nil"/>
              <w:left w:val="nil"/>
              <w:bottom w:val="nil"/>
              <w:right w:val="nil"/>
            </w:tcBorders>
          </w:tcPr>
          <w:p w14:paraId="23264E9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96" w:type="pct"/>
            <w:tcBorders>
              <w:top w:val="nil"/>
              <w:left w:val="nil"/>
              <w:bottom w:val="nil"/>
              <w:right w:val="nil"/>
            </w:tcBorders>
          </w:tcPr>
          <w:p w14:paraId="0FA186D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42BDCDDA"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-0.14***</w:t>
            </w:r>
          </w:p>
        </w:tc>
        <w:tc>
          <w:tcPr>
            <w:tcW w:w="442" w:type="pct"/>
            <w:tcBorders>
              <w:top w:val="nil"/>
              <w:left w:val="nil"/>
              <w:bottom w:val="nil"/>
              <w:right w:val="nil"/>
            </w:tcBorders>
          </w:tcPr>
          <w:p w14:paraId="068EFA7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0.02</w:t>
            </w:r>
          </w:p>
        </w:tc>
        <w:tc>
          <w:tcPr>
            <w:tcW w:w="86" w:type="pct"/>
            <w:tcBorders>
              <w:top w:val="nil"/>
              <w:left w:val="nil"/>
              <w:bottom w:val="nil"/>
              <w:right w:val="nil"/>
            </w:tcBorders>
          </w:tcPr>
          <w:p w14:paraId="362A772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1629CC3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-0.16***</w:t>
            </w:r>
          </w:p>
        </w:tc>
        <w:tc>
          <w:tcPr>
            <w:tcW w:w="475" w:type="pct"/>
            <w:tcBorders>
              <w:top w:val="nil"/>
              <w:left w:val="nil"/>
              <w:bottom w:val="nil"/>
              <w:right w:val="nil"/>
            </w:tcBorders>
          </w:tcPr>
          <w:p w14:paraId="5C8B300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r>
      <w:tr w:rsidR="00E904EC" w:rsidRPr="00420412" w14:paraId="1B0F5BA9" w14:textId="77777777" w:rsidTr="00667B1B">
        <w:trPr>
          <w:trHeight w:val="227"/>
        </w:trPr>
        <w:tc>
          <w:tcPr>
            <w:tcW w:w="1060" w:type="pct"/>
            <w:tcBorders>
              <w:top w:val="nil"/>
              <w:left w:val="nil"/>
              <w:bottom w:val="nil"/>
              <w:right w:val="nil"/>
            </w:tcBorders>
          </w:tcPr>
          <w:p w14:paraId="523D33D4"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Age</w:t>
            </w:r>
          </w:p>
        </w:tc>
        <w:tc>
          <w:tcPr>
            <w:tcW w:w="858" w:type="pct"/>
            <w:tcBorders>
              <w:top w:val="nil"/>
              <w:left w:val="nil"/>
              <w:bottom w:val="nil"/>
              <w:right w:val="nil"/>
            </w:tcBorders>
          </w:tcPr>
          <w:p w14:paraId="10FA1FB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1" w:type="pct"/>
            <w:tcBorders>
              <w:top w:val="nil"/>
              <w:left w:val="nil"/>
              <w:bottom w:val="nil"/>
              <w:right w:val="nil"/>
            </w:tcBorders>
          </w:tcPr>
          <w:p w14:paraId="669F5ED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0.02*</w:t>
            </w:r>
          </w:p>
        </w:tc>
        <w:tc>
          <w:tcPr>
            <w:tcW w:w="502" w:type="pct"/>
            <w:tcBorders>
              <w:top w:val="nil"/>
              <w:left w:val="nil"/>
              <w:bottom w:val="nil"/>
              <w:right w:val="nil"/>
            </w:tcBorders>
          </w:tcPr>
          <w:p w14:paraId="0B0609C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96" w:type="pct"/>
            <w:tcBorders>
              <w:top w:val="nil"/>
              <w:left w:val="nil"/>
              <w:bottom w:val="nil"/>
              <w:right w:val="nil"/>
            </w:tcBorders>
          </w:tcPr>
          <w:p w14:paraId="01B2604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3323573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-0.20***</w:t>
            </w:r>
          </w:p>
        </w:tc>
        <w:tc>
          <w:tcPr>
            <w:tcW w:w="442" w:type="pct"/>
            <w:tcBorders>
              <w:top w:val="nil"/>
              <w:left w:val="nil"/>
              <w:bottom w:val="nil"/>
              <w:right w:val="nil"/>
            </w:tcBorders>
          </w:tcPr>
          <w:p w14:paraId="6DD6666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0.02</w:t>
            </w:r>
          </w:p>
        </w:tc>
        <w:tc>
          <w:tcPr>
            <w:tcW w:w="86" w:type="pct"/>
            <w:tcBorders>
              <w:top w:val="nil"/>
              <w:left w:val="nil"/>
              <w:bottom w:val="nil"/>
              <w:right w:val="nil"/>
            </w:tcBorders>
          </w:tcPr>
          <w:p w14:paraId="552434F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6910F21F"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0.12***</w:t>
            </w:r>
          </w:p>
        </w:tc>
        <w:tc>
          <w:tcPr>
            <w:tcW w:w="475" w:type="pct"/>
            <w:tcBorders>
              <w:top w:val="nil"/>
              <w:left w:val="nil"/>
              <w:bottom w:val="nil"/>
              <w:right w:val="nil"/>
            </w:tcBorders>
          </w:tcPr>
          <w:p w14:paraId="4A257BE8"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r>
      <w:tr w:rsidR="00E904EC" w:rsidRPr="00420412" w14:paraId="662F2CD6" w14:textId="77777777" w:rsidTr="00667B1B">
        <w:trPr>
          <w:trHeight w:val="227"/>
        </w:trPr>
        <w:tc>
          <w:tcPr>
            <w:tcW w:w="1060" w:type="pct"/>
            <w:tcBorders>
              <w:top w:val="nil"/>
              <w:left w:val="nil"/>
              <w:bottom w:val="nil"/>
              <w:right w:val="nil"/>
            </w:tcBorders>
          </w:tcPr>
          <w:p w14:paraId="373C16D8"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Type</w:t>
            </w:r>
          </w:p>
        </w:tc>
        <w:tc>
          <w:tcPr>
            <w:tcW w:w="858" w:type="pct"/>
            <w:tcBorders>
              <w:top w:val="nil"/>
              <w:left w:val="nil"/>
              <w:bottom w:val="nil"/>
              <w:right w:val="nil"/>
            </w:tcBorders>
          </w:tcPr>
          <w:p w14:paraId="17453C01"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1" w:type="pct"/>
            <w:tcBorders>
              <w:top w:val="nil"/>
              <w:left w:val="nil"/>
              <w:bottom w:val="nil"/>
              <w:right w:val="nil"/>
            </w:tcBorders>
          </w:tcPr>
          <w:p w14:paraId="561BBC8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2" w:type="pct"/>
            <w:tcBorders>
              <w:top w:val="nil"/>
              <w:left w:val="nil"/>
              <w:bottom w:val="nil"/>
              <w:right w:val="nil"/>
            </w:tcBorders>
          </w:tcPr>
          <w:p w14:paraId="011CF39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96" w:type="pct"/>
            <w:tcBorders>
              <w:top w:val="nil"/>
              <w:left w:val="nil"/>
              <w:bottom w:val="nil"/>
              <w:right w:val="nil"/>
            </w:tcBorders>
          </w:tcPr>
          <w:p w14:paraId="4EB9D28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49CF5E3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2" w:type="pct"/>
            <w:tcBorders>
              <w:top w:val="nil"/>
              <w:left w:val="nil"/>
              <w:bottom w:val="nil"/>
              <w:right w:val="nil"/>
            </w:tcBorders>
          </w:tcPr>
          <w:p w14:paraId="335F287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86" w:type="pct"/>
            <w:tcBorders>
              <w:top w:val="nil"/>
              <w:left w:val="nil"/>
              <w:bottom w:val="nil"/>
              <w:right w:val="nil"/>
            </w:tcBorders>
          </w:tcPr>
          <w:p w14:paraId="64A15DE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1D9CA25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5" w:type="pct"/>
            <w:tcBorders>
              <w:top w:val="nil"/>
              <w:left w:val="nil"/>
              <w:bottom w:val="nil"/>
              <w:right w:val="nil"/>
            </w:tcBorders>
          </w:tcPr>
          <w:p w14:paraId="1D0BBBC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42CE123F" w14:textId="77777777" w:rsidTr="00667B1B">
        <w:trPr>
          <w:trHeight w:val="227"/>
        </w:trPr>
        <w:tc>
          <w:tcPr>
            <w:tcW w:w="1060" w:type="pct"/>
            <w:tcBorders>
              <w:top w:val="nil"/>
              <w:left w:val="nil"/>
              <w:bottom w:val="nil"/>
              <w:right w:val="nil"/>
            </w:tcBorders>
          </w:tcPr>
          <w:p w14:paraId="3AD7F764"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58" w:type="pct"/>
            <w:tcBorders>
              <w:top w:val="nil"/>
              <w:left w:val="nil"/>
              <w:bottom w:val="nil"/>
              <w:right w:val="nil"/>
            </w:tcBorders>
          </w:tcPr>
          <w:p w14:paraId="0A3A9584"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Standard charity</w:t>
            </w:r>
          </w:p>
        </w:tc>
        <w:tc>
          <w:tcPr>
            <w:tcW w:w="501" w:type="pct"/>
            <w:tcBorders>
              <w:top w:val="nil"/>
              <w:left w:val="nil"/>
              <w:bottom w:val="nil"/>
              <w:right w:val="nil"/>
            </w:tcBorders>
          </w:tcPr>
          <w:p w14:paraId="0486A8C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502" w:type="pct"/>
            <w:tcBorders>
              <w:top w:val="nil"/>
              <w:left w:val="nil"/>
              <w:bottom w:val="nil"/>
              <w:right w:val="nil"/>
            </w:tcBorders>
          </w:tcPr>
          <w:p w14:paraId="3D06444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96" w:type="pct"/>
            <w:tcBorders>
              <w:top w:val="nil"/>
              <w:left w:val="nil"/>
              <w:bottom w:val="nil"/>
              <w:right w:val="nil"/>
            </w:tcBorders>
          </w:tcPr>
          <w:p w14:paraId="3476D53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4DDDEB3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42" w:type="pct"/>
            <w:tcBorders>
              <w:top w:val="nil"/>
              <w:left w:val="nil"/>
              <w:bottom w:val="nil"/>
              <w:right w:val="nil"/>
            </w:tcBorders>
          </w:tcPr>
          <w:p w14:paraId="55951663"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86" w:type="pct"/>
            <w:tcBorders>
              <w:top w:val="nil"/>
              <w:left w:val="nil"/>
              <w:bottom w:val="nil"/>
              <w:right w:val="nil"/>
            </w:tcBorders>
          </w:tcPr>
          <w:p w14:paraId="5388AE6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3D97887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75" w:type="pct"/>
            <w:tcBorders>
              <w:top w:val="nil"/>
              <w:left w:val="nil"/>
              <w:bottom w:val="nil"/>
              <w:right w:val="nil"/>
            </w:tcBorders>
          </w:tcPr>
          <w:p w14:paraId="795B68B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r>
      <w:tr w:rsidR="00E904EC" w:rsidRPr="00420412" w14:paraId="49BD209B" w14:textId="77777777" w:rsidTr="00667B1B">
        <w:trPr>
          <w:trHeight w:val="227"/>
        </w:trPr>
        <w:tc>
          <w:tcPr>
            <w:tcW w:w="1060" w:type="pct"/>
            <w:tcBorders>
              <w:top w:val="nil"/>
              <w:left w:val="nil"/>
              <w:bottom w:val="nil"/>
              <w:right w:val="nil"/>
            </w:tcBorders>
          </w:tcPr>
          <w:p w14:paraId="769ED0D4"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58" w:type="pct"/>
            <w:tcBorders>
              <w:top w:val="nil"/>
              <w:left w:val="nil"/>
              <w:bottom w:val="nil"/>
              <w:right w:val="nil"/>
            </w:tcBorders>
          </w:tcPr>
          <w:p w14:paraId="45BE3BF8"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Society or institution</w:t>
            </w:r>
          </w:p>
        </w:tc>
        <w:tc>
          <w:tcPr>
            <w:tcW w:w="501" w:type="pct"/>
            <w:tcBorders>
              <w:top w:val="nil"/>
              <w:left w:val="nil"/>
              <w:bottom w:val="nil"/>
              <w:right w:val="nil"/>
            </w:tcBorders>
          </w:tcPr>
          <w:p w14:paraId="2E0F62C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4.56***</w:t>
            </w:r>
          </w:p>
        </w:tc>
        <w:tc>
          <w:tcPr>
            <w:tcW w:w="502" w:type="pct"/>
            <w:tcBorders>
              <w:top w:val="nil"/>
              <w:left w:val="nil"/>
              <w:bottom w:val="nil"/>
              <w:right w:val="nil"/>
            </w:tcBorders>
          </w:tcPr>
          <w:p w14:paraId="1F4C286F"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96" w:type="pct"/>
            <w:tcBorders>
              <w:top w:val="nil"/>
              <w:left w:val="nil"/>
              <w:bottom w:val="nil"/>
              <w:right w:val="nil"/>
            </w:tcBorders>
          </w:tcPr>
          <w:p w14:paraId="47B7E52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74DE8678"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7.31***</w:t>
            </w:r>
          </w:p>
        </w:tc>
        <w:tc>
          <w:tcPr>
            <w:tcW w:w="442" w:type="pct"/>
            <w:tcBorders>
              <w:top w:val="nil"/>
              <w:left w:val="nil"/>
              <w:bottom w:val="nil"/>
              <w:right w:val="nil"/>
            </w:tcBorders>
          </w:tcPr>
          <w:p w14:paraId="17D9951E"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0.24</w:t>
            </w:r>
          </w:p>
        </w:tc>
        <w:tc>
          <w:tcPr>
            <w:tcW w:w="86" w:type="pct"/>
            <w:tcBorders>
              <w:top w:val="nil"/>
              <w:left w:val="nil"/>
              <w:bottom w:val="nil"/>
              <w:right w:val="nil"/>
            </w:tcBorders>
          </w:tcPr>
          <w:p w14:paraId="113A6C8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0963301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4.18***</w:t>
            </w:r>
          </w:p>
        </w:tc>
        <w:tc>
          <w:tcPr>
            <w:tcW w:w="475" w:type="pct"/>
            <w:tcBorders>
              <w:top w:val="nil"/>
              <w:left w:val="nil"/>
              <w:bottom w:val="nil"/>
              <w:right w:val="nil"/>
            </w:tcBorders>
          </w:tcPr>
          <w:p w14:paraId="3D38DE8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0.09</w:t>
            </w:r>
          </w:p>
        </w:tc>
      </w:tr>
      <w:tr w:rsidR="00E904EC" w:rsidRPr="00420412" w14:paraId="01725324" w14:textId="77777777" w:rsidTr="00667B1B">
        <w:trPr>
          <w:trHeight w:val="227"/>
        </w:trPr>
        <w:tc>
          <w:tcPr>
            <w:tcW w:w="1060" w:type="pct"/>
            <w:tcBorders>
              <w:top w:val="nil"/>
              <w:left w:val="nil"/>
              <w:bottom w:val="nil"/>
              <w:right w:val="nil"/>
            </w:tcBorders>
          </w:tcPr>
          <w:p w14:paraId="7798AC0D"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58" w:type="pct"/>
            <w:tcBorders>
              <w:top w:val="nil"/>
              <w:left w:val="nil"/>
              <w:bottom w:val="nil"/>
              <w:right w:val="nil"/>
            </w:tcBorders>
          </w:tcPr>
          <w:p w14:paraId="370D7572"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Trustees of a trust</w:t>
            </w:r>
          </w:p>
        </w:tc>
        <w:tc>
          <w:tcPr>
            <w:tcW w:w="501" w:type="pct"/>
            <w:tcBorders>
              <w:top w:val="nil"/>
              <w:left w:val="nil"/>
              <w:bottom w:val="nil"/>
              <w:right w:val="nil"/>
            </w:tcBorders>
          </w:tcPr>
          <w:p w14:paraId="1A5F60A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4.77***</w:t>
            </w:r>
          </w:p>
        </w:tc>
        <w:tc>
          <w:tcPr>
            <w:tcW w:w="502" w:type="pct"/>
            <w:tcBorders>
              <w:top w:val="nil"/>
              <w:left w:val="nil"/>
              <w:bottom w:val="nil"/>
              <w:right w:val="nil"/>
            </w:tcBorders>
          </w:tcPr>
          <w:p w14:paraId="580C5A2F"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96" w:type="pct"/>
            <w:tcBorders>
              <w:top w:val="nil"/>
              <w:left w:val="nil"/>
              <w:bottom w:val="nil"/>
              <w:right w:val="nil"/>
            </w:tcBorders>
          </w:tcPr>
          <w:p w14:paraId="6CECA3A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4D4F0AB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7.43***</w:t>
            </w:r>
          </w:p>
        </w:tc>
        <w:tc>
          <w:tcPr>
            <w:tcW w:w="442" w:type="pct"/>
            <w:tcBorders>
              <w:top w:val="nil"/>
              <w:left w:val="nil"/>
              <w:bottom w:val="nil"/>
              <w:right w:val="nil"/>
            </w:tcBorders>
          </w:tcPr>
          <w:p w14:paraId="6C5A1E0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0.24</w:t>
            </w:r>
          </w:p>
        </w:tc>
        <w:tc>
          <w:tcPr>
            <w:tcW w:w="86" w:type="pct"/>
            <w:tcBorders>
              <w:top w:val="nil"/>
              <w:left w:val="nil"/>
              <w:bottom w:val="nil"/>
              <w:right w:val="nil"/>
            </w:tcBorders>
          </w:tcPr>
          <w:p w14:paraId="583E40A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6742AE9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4.75***</w:t>
            </w:r>
          </w:p>
        </w:tc>
        <w:tc>
          <w:tcPr>
            <w:tcW w:w="475" w:type="pct"/>
            <w:tcBorders>
              <w:top w:val="nil"/>
              <w:left w:val="nil"/>
              <w:bottom w:val="nil"/>
              <w:right w:val="nil"/>
            </w:tcBorders>
          </w:tcPr>
          <w:p w14:paraId="0431B17A"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0.09</w:t>
            </w:r>
          </w:p>
        </w:tc>
      </w:tr>
      <w:tr w:rsidR="00E904EC" w:rsidRPr="00420412" w14:paraId="1DDB3FBA" w14:textId="77777777" w:rsidTr="00667B1B">
        <w:trPr>
          <w:trHeight w:val="227"/>
        </w:trPr>
        <w:tc>
          <w:tcPr>
            <w:tcW w:w="1060" w:type="pct"/>
            <w:tcBorders>
              <w:top w:val="nil"/>
              <w:left w:val="nil"/>
              <w:bottom w:val="nil"/>
              <w:right w:val="nil"/>
            </w:tcBorders>
          </w:tcPr>
          <w:p w14:paraId="19EC39F0"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Education</w:t>
            </w:r>
          </w:p>
        </w:tc>
        <w:tc>
          <w:tcPr>
            <w:tcW w:w="858" w:type="pct"/>
            <w:tcBorders>
              <w:top w:val="nil"/>
              <w:left w:val="nil"/>
              <w:bottom w:val="nil"/>
              <w:right w:val="nil"/>
            </w:tcBorders>
          </w:tcPr>
          <w:p w14:paraId="167765F6"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1" w:type="pct"/>
            <w:tcBorders>
              <w:top w:val="nil"/>
              <w:left w:val="nil"/>
              <w:bottom w:val="nil"/>
              <w:right w:val="nil"/>
            </w:tcBorders>
          </w:tcPr>
          <w:p w14:paraId="7D8F4F1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-0.23**</w:t>
            </w:r>
          </w:p>
        </w:tc>
        <w:tc>
          <w:tcPr>
            <w:tcW w:w="502" w:type="pct"/>
            <w:tcBorders>
              <w:top w:val="nil"/>
              <w:left w:val="nil"/>
              <w:bottom w:val="nil"/>
              <w:right w:val="nil"/>
            </w:tcBorders>
          </w:tcPr>
          <w:p w14:paraId="7DD9265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96" w:type="pct"/>
            <w:tcBorders>
              <w:top w:val="nil"/>
              <w:left w:val="nil"/>
              <w:bottom w:val="nil"/>
              <w:right w:val="nil"/>
            </w:tcBorders>
          </w:tcPr>
          <w:p w14:paraId="0E9FB94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2093E07E"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-0.18</w:t>
            </w:r>
          </w:p>
        </w:tc>
        <w:tc>
          <w:tcPr>
            <w:tcW w:w="442" w:type="pct"/>
            <w:tcBorders>
              <w:top w:val="nil"/>
              <w:left w:val="nil"/>
              <w:bottom w:val="nil"/>
              <w:right w:val="nil"/>
            </w:tcBorders>
          </w:tcPr>
          <w:p w14:paraId="6417F36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0.10</w:t>
            </w:r>
          </w:p>
        </w:tc>
        <w:tc>
          <w:tcPr>
            <w:tcW w:w="86" w:type="pct"/>
            <w:tcBorders>
              <w:top w:val="nil"/>
              <w:left w:val="nil"/>
              <w:bottom w:val="nil"/>
              <w:right w:val="nil"/>
            </w:tcBorders>
          </w:tcPr>
          <w:p w14:paraId="05E08D2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129404D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0.13</w:t>
            </w:r>
          </w:p>
        </w:tc>
        <w:tc>
          <w:tcPr>
            <w:tcW w:w="475" w:type="pct"/>
            <w:tcBorders>
              <w:top w:val="nil"/>
              <w:left w:val="nil"/>
              <w:bottom w:val="nil"/>
              <w:right w:val="nil"/>
            </w:tcBorders>
          </w:tcPr>
          <w:p w14:paraId="538B30C8"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r>
      <w:tr w:rsidR="00E904EC" w:rsidRPr="00420412" w14:paraId="480D5F1E" w14:textId="77777777" w:rsidTr="00667B1B">
        <w:trPr>
          <w:trHeight w:val="227"/>
        </w:trPr>
        <w:tc>
          <w:tcPr>
            <w:tcW w:w="1060" w:type="pct"/>
            <w:tcBorders>
              <w:top w:val="nil"/>
              <w:left w:val="nil"/>
              <w:bottom w:val="nil"/>
              <w:right w:val="nil"/>
            </w:tcBorders>
          </w:tcPr>
          <w:p w14:paraId="7F287897"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CYP</w:t>
            </w:r>
          </w:p>
        </w:tc>
        <w:tc>
          <w:tcPr>
            <w:tcW w:w="858" w:type="pct"/>
            <w:tcBorders>
              <w:top w:val="nil"/>
              <w:left w:val="nil"/>
              <w:bottom w:val="nil"/>
              <w:right w:val="nil"/>
            </w:tcBorders>
          </w:tcPr>
          <w:p w14:paraId="4EA737A2"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1" w:type="pct"/>
            <w:tcBorders>
              <w:top w:val="nil"/>
              <w:left w:val="nil"/>
              <w:bottom w:val="nil"/>
              <w:right w:val="nil"/>
            </w:tcBorders>
          </w:tcPr>
          <w:p w14:paraId="000E289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0.30***</w:t>
            </w:r>
          </w:p>
        </w:tc>
        <w:tc>
          <w:tcPr>
            <w:tcW w:w="502" w:type="pct"/>
            <w:tcBorders>
              <w:top w:val="nil"/>
              <w:left w:val="nil"/>
              <w:bottom w:val="nil"/>
              <w:right w:val="nil"/>
            </w:tcBorders>
          </w:tcPr>
          <w:p w14:paraId="3A3790B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96" w:type="pct"/>
            <w:tcBorders>
              <w:top w:val="nil"/>
              <w:left w:val="nil"/>
              <w:bottom w:val="nil"/>
              <w:right w:val="nil"/>
            </w:tcBorders>
          </w:tcPr>
          <w:p w14:paraId="00B81D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323EFE9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442" w:type="pct"/>
            <w:tcBorders>
              <w:top w:val="nil"/>
              <w:left w:val="nil"/>
              <w:bottom w:val="nil"/>
              <w:right w:val="nil"/>
            </w:tcBorders>
          </w:tcPr>
          <w:p w14:paraId="35B8FD2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0.10</w:t>
            </w:r>
          </w:p>
        </w:tc>
        <w:tc>
          <w:tcPr>
            <w:tcW w:w="86" w:type="pct"/>
            <w:tcBorders>
              <w:top w:val="nil"/>
              <w:left w:val="nil"/>
              <w:bottom w:val="nil"/>
              <w:right w:val="nil"/>
            </w:tcBorders>
          </w:tcPr>
          <w:p w14:paraId="14D3DB6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1E93E81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0.06</w:t>
            </w:r>
          </w:p>
        </w:tc>
        <w:tc>
          <w:tcPr>
            <w:tcW w:w="475" w:type="pct"/>
            <w:tcBorders>
              <w:top w:val="nil"/>
              <w:left w:val="nil"/>
              <w:bottom w:val="nil"/>
              <w:right w:val="nil"/>
            </w:tcBorders>
          </w:tcPr>
          <w:p w14:paraId="2B3C6C24"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r>
      <w:tr w:rsidR="00E904EC" w:rsidRPr="00420412" w14:paraId="2BFD87E1" w14:textId="77777777" w:rsidTr="00667B1B">
        <w:trPr>
          <w:trHeight w:val="227"/>
        </w:trPr>
        <w:tc>
          <w:tcPr>
            <w:tcW w:w="1060" w:type="pct"/>
            <w:tcBorders>
              <w:top w:val="nil"/>
              <w:left w:val="nil"/>
              <w:bottom w:val="nil"/>
              <w:right w:val="nil"/>
            </w:tcBorders>
          </w:tcPr>
          <w:p w14:paraId="43442C17"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i/>
              </w:rPr>
            </w:pPr>
            <w:r w:rsidRPr="00420412">
              <w:rPr>
                <w:rFonts w:ascii="Times New Roman" w:hAnsi="Times New Roman" w:cs="Times New Roman"/>
                <w:i/>
              </w:rPr>
              <w:t>Resource Dependence</w:t>
            </w:r>
          </w:p>
        </w:tc>
        <w:tc>
          <w:tcPr>
            <w:tcW w:w="858" w:type="pct"/>
            <w:tcBorders>
              <w:top w:val="nil"/>
              <w:left w:val="nil"/>
              <w:bottom w:val="nil"/>
              <w:right w:val="nil"/>
            </w:tcBorders>
          </w:tcPr>
          <w:p w14:paraId="295C353E"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1" w:type="pct"/>
            <w:tcBorders>
              <w:top w:val="nil"/>
              <w:left w:val="nil"/>
              <w:bottom w:val="nil"/>
              <w:right w:val="nil"/>
            </w:tcBorders>
          </w:tcPr>
          <w:p w14:paraId="5173440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2" w:type="pct"/>
            <w:tcBorders>
              <w:top w:val="nil"/>
              <w:left w:val="nil"/>
              <w:bottom w:val="nil"/>
              <w:right w:val="nil"/>
            </w:tcBorders>
          </w:tcPr>
          <w:p w14:paraId="4E054C0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96" w:type="pct"/>
            <w:tcBorders>
              <w:top w:val="nil"/>
              <w:left w:val="nil"/>
              <w:bottom w:val="nil"/>
              <w:right w:val="nil"/>
            </w:tcBorders>
          </w:tcPr>
          <w:p w14:paraId="3C41BA8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409E7430"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2" w:type="pct"/>
            <w:tcBorders>
              <w:top w:val="nil"/>
              <w:left w:val="nil"/>
              <w:bottom w:val="nil"/>
              <w:right w:val="nil"/>
            </w:tcBorders>
          </w:tcPr>
          <w:p w14:paraId="19DC1B6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86" w:type="pct"/>
            <w:tcBorders>
              <w:top w:val="nil"/>
              <w:left w:val="nil"/>
              <w:bottom w:val="nil"/>
              <w:right w:val="nil"/>
            </w:tcBorders>
          </w:tcPr>
          <w:p w14:paraId="2C14CAB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34B2799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5" w:type="pct"/>
            <w:tcBorders>
              <w:top w:val="nil"/>
              <w:left w:val="nil"/>
              <w:bottom w:val="nil"/>
              <w:right w:val="nil"/>
            </w:tcBorders>
          </w:tcPr>
          <w:p w14:paraId="3DEF9A4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00372175" w14:textId="77777777" w:rsidTr="00667B1B">
        <w:trPr>
          <w:trHeight w:val="227"/>
        </w:trPr>
        <w:tc>
          <w:tcPr>
            <w:tcW w:w="1060" w:type="pct"/>
            <w:tcBorders>
              <w:top w:val="nil"/>
              <w:left w:val="nil"/>
              <w:bottom w:val="nil"/>
              <w:right w:val="nil"/>
            </w:tcBorders>
          </w:tcPr>
          <w:p w14:paraId="38529B87"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Donations</w:t>
            </w:r>
          </w:p>
        </w:tc>
        <w:tc>
          <w:tcPr>
            <w:tcW w:w="858" w:type="pct"/>
            <w:tcBorders>
              <w:top w:val="nil"/>
              <w:left w:val="nil"/>
              <w:bottom w:val="nil"/>
              <w:right w:val="nil"/>
            </w:tcBorders>
          </w:tcPr>
          <w:p w14:paraId="54256D3F"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1" w:type="pct"/>
            <w:tcBorders>
              <w:top w:val="nil"/>
              <w:left w:val="nil"/>
              <w:bottom w:val="nil"/>
              <w:right w:val="nil"/>
            </w:tcBorders>
          </w:tcPr>
          <w:p w14:paraId="3ADCF69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-0.11</w:t>
            </w:r>
          </w:p>
        </w:tc>
        <w:tc>
          <w:tcPr>
            <w:tcW w:w="502" w:type="pct"/>
            <w:tcBorders>
              <w:top w:val="nil"/>
              <w:left w:val="nil"/>
              <w:bottom w:val="nil"/>
              <w:right w:val="nil"/>
            </w:tcBorders>
          </w:tcPr>
          <w:p w14:paraId="49ED87A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96" w:type="pct"/>
            <w:tcBorders>
              <w:top w:val="nil"/>
              <w:left w:val="nil"/>
              <w:bottom w:val="nil"/>
              <w:right w:val="nil"/>
            </w:tcBorders>
          </w:tcPr>
          <w:p w14:paraId="3879E85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37D3F15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-0.42***</w:t>
            </w:r>
          </w:p>
        </w:tc>
        <w:tc>
          <w:tcPr>
            <w:tcW w:w="442" w:type="pct"/>
            <w:tcBorders>
              <w:top w:val="nil"/>
              <w:left w:val="nil"/>
              <w:bottom w:val="nil"/>
              <w:right w:val="nil"/>
            </w:tcBorders>
          </w:tcPr>
          <w:p w14:paraId="58DE108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0.10</w:t>
            </w:r>
          </w:p>
        </w:tc>
        <w:tc>
          <w:tcPr>
            <w:tcW w:w="86" w:type="pct"/>
            <w:tcBorders>
              <w:top w:val="nil"/>
              <w:left w:val="nil"/>
              <w:bottom w:val="nil"/>
              <w:right w:val="nil"/>
            </w:tcBorders>
          </w:tcPr>
          <w:p w14:paraId="5A2D3C9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147B8C5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0.31***</w:t>
            </w:r>
          </w:p>
        </w:tc>
        <w:tc>
          <w:tcPr>
            <w:tcW w:w="475" w:type="pct"/>
            <w:tcBorders>
              <w:top w:val="nil"/>
              <w:left w:val="nil"/>
              <w:bottom w:val="nil"/>
              <w:right w:val="nil"/>
            </w:tcBorders>
          </w:tcPr>
          <w:p w14:paraId="62C37A4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r>
      <w:tr w:rsidR="00E904EC" w:rsidRPr="00420412" w14:paraId="785AB38E" w14:textId="77777777" w:rsidTr="00667B1B">
        <w:trPr>
          <w:trHeight w:val="227"/>
        </w:trPr>
        <w:tc>
          <w:tcPr>
            <w:tcW w:w="1060" w:type="pct"/>
            <w:tcBorders>
              <w:top w:val="nil"/>
              <w:left w:val="nil"/>
              <w:bottom w:val="nil"/>
              <w:right w:val="nil"/>
            </w:tcBorders>
          </w:tcPr>
          <w:p w14:paraId="5E0B3E4C"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Government</w:t>
            </w:r>
          </w:p>
        </w:tc>
        <w:tc>
          <w:tcPr>
            <w:tcW w:w="858" w:type="pct"/>
            <w:tcBorders>
              <w:top w:val="nil"/>
              <w:left w:val="nil"/>
              <w:bottom w:val="nil"/>
              <w:right w:val="nil"/>
            </w:tcBorders>
          </w:tcPr>
          <w:p w14:paraId="7061DDAC"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1" w:type="pct"/>
            <w:tcBorders>
              <w:top w:val="nil"/>
              <w:left w:val="nil"/>
              <w:bottom w:val="nil"/>
              <w:right w:val="nil"/>
            </w:tcBorders>
          </w:tcPr>
          <w:p w14:paraId="7582059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0.70***</w:t>
            </w:r>
          </w:p>
        </w:tc>
        <w:tc>
          <w:tcPr>
            <w:tcW w:w="502" w:type="pct"/>
            <w:tcBorders>
              <w:top w:val="nil"/>
              <w:left w:val="nil"/>
              <w:bottom w:val="nil"/>
              <w:right w:val="nil"/>
            </w:tcBorders>
          </w:tcPr>
          <w:p w14:paraId="181C961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0.06</w:t>
            </w:r>
          </w:p>
        </w:tc>
        <w:tc>
          <w:tcPr>
            <w:tcW w:w="96" w:type="pct"/>
            <w:tcBorders>
              <w:top w:val="nil"/>
              <w:left w:val="nil"/>
              <w:bottom w:val="nil"/>
              <w:right w:val="nil"/>
            </w:tcBorders>
          </w:tcPr>
          <w:p w14:paraId="1BB5F6E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2ECD9E8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0.18*</w:t>
            </w:r>
          </w:p>
        </w:tc>
        <w:tc>
          <w:tcPr>
            <w:tcW w:w="442" w:type="pct"/>
            <w:tcBorders>
              <w:top w:val="nil"/>
              <w:left w:val="nil"/>
              <w:bottom w:val="nil"/>
              <w:right w:val="nil"/>
            </w:tcBorders>
          </w:tcPr>
          <w:p w14:paraId="2147C47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86" w:type="pct"/>
            <w:tcBorders>
              <w:top w:val="nil"/>
              <w:left w:val="nil"/>
              <w:bottom w:val="nil"/>
              <w:right w:val="nil"/>
            </w:tcBorders>
          </w:tcPr>
          <w:p w14:paraId="5948C2C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576512F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0.18**</w:t>
            </w:r>
          </w:p>
        </w:tc>
        <w:tc>
          <w:tcPr>
            <w:tcW w:w="475" w:type="pct"/>
            <w:tcBorders>
              <w:top w:val="nil"/>
              <w:left w:val="nil"/>
              <w:bottom w:val="nil"/>
              <w:right w:val="nil"/>
            </w:tcBorders>
          </w:tcPr>
          <w:p w14:paraId="5B94D92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0.06</w:t>
            </w:r>
          </w:p>
        </w:tc>
      </w:tr>
      <w:tr w:rsidR="00E904EC" w:rsidRPr="00420412" w14:paraId="703E774F" w14:textId="77777777" w:rsidTr="00667B1B">
        <w:trPr>
          <w:trHeight w:val="227"/>
        </w:trPr>
        <w:tc>
          <w:tcPr>
            <w:tcW w:w="1060" w:type="pct"/>
            <w:tcBorders>
              <w:top w:val="nil"/>
              <w:left w:val="nil"/>
              <w:bottom w:val="nil"/>
              <w:right w:val="nil"/>
            </w:tcBorders>
          </w:tcPr>
          <w:p w14:paraId="4AA7565B"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i/>
              </w:rPr>
            </w:pPr>
            <w:r w:rsidRPr="00420412">
              <w:rPr>
                <w:rFonts w:ascii="Times New Roman" w:hAnsi="Times New Roman" w:cs="Times New Roman"/>
                <w:i/>
              </w:rPr>
              <w:t>Controls</w:t>
            </w:r>
          </w:p>
        </w:tc>
        <w:tc>
          <w:tcPr>
            <w:tcW w:w="858" w:type="pct"/>
            <w:tcBorders>
              <w:top w:val="nil"/>
              <w:left w:val="nil"/>
              <w:bottom w:val="nil"/>
              <w:right w:val="nil"/>
            </w:tcBorders>
          </w:tcPr>
          <w:p w14:paraId="10A8BFFF"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1" w:type="pct"/>
            <w:tcBorders>
              <w:top w:val="nil"/>
              <w:left w:val="nil"/>
              <w:bottom w:val="nil"/>
              <w:right w:val="nil"/>
            </w:tcBorders>
          </w:tcPr>
          <w:p w14:paraId="34DA526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2" w:type="pct"/>
            <w:tcBorders>
              <w:top w:val="nil"/>
              <w:left w:val="nil"/>
              <w:bottom w:val="nil"/>
              <w:right w:val="nil"/>
            </w:tcBorders>
          </w:tcPr>
          <w:p w14:paraId="36993A0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96" w:type="pct"/>
            <w:tcBorders>
              <w:top w:val="nil"/>
              <w:left w:val="nil"/>
              <w:bottom w:val="nil"/>
              <w:right w:val="nil"/>
            </w:tcBorders>
          </w:tcPr>
          <w:p w14:paraId="2F53DFE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3FC0A390"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2" w:type="pct"/>
            <w:tcBorders>
              <w:top w:val="nil"/>
              <w:left w:val="nil"/>
              <w:bottom w:val="nil"/>
              <w:right w:val="nil"/>
            </w:tcBorders>
          </w:tcPr>
          <w:p w14:paraId="5C4FA99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86" w:type="pct"/>
            <w:tcBorders>
              <w:top w:val="nil"/>
              <w:left w:val="nil"/>
              <w:bottom w:val="nil"/>
              <w:right w:val="nil"/>
            </w:tcBorders>
          </w:tcPr>
          <w:p w14:paraId="7729333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029E6B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5" w:type="pct"/>
            <w:tcBorders>
              <w:top w:val="nil"/>
              <w:left w:val="nil"/>
              <w:bottom w:val="nil"/>
              <w:right w:val="nil"/>
            </w:tcBorders>
          </w:tcPr>
          <w:p w14:paraId="127D695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1B0F972B" w14:textId="77777777" w:rsidTr="00667B1B">
        <w:trPr>
          <w:trHeight w:val="227"/>
        </w:trPr>
        <w:tc>
          <w:tcPr>
            <w:tcW w:w="1060" w:type="pct"/>
            <w:tcBorders>
              <w:top w:val="nil"/>
              <w:left w:val="nil"/>
              <w:bottom w:val="nil"/>
              <w:right w:val="nil"/>
            </w:tcBorders>
          </w:tcPr>
          <w:p w14:paraId="27740098"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Employees</w:t>
            </w:r>
          </w:p>
        </w:tc>
        <w:tc>
          <w:tcPr>
            <w:tcW w:w="858" w:type="pct"/>
            <w:tcBorders>
              <w:top w:val="nil"/>
              <w:left w:val="nil"/>
              <w:bottom w:val="nil"/>
              <w:right w:val="nil"/>
            </w:tcBorders>
          </w:tcPr>
          <w:p w14:paraId="28479A7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1" w:type="pct"/>
            <w:tcBorders>
              <w:top w:val="nil"/>
              <w:left w:val="nil"/>
              <w:bottom w:val="nil"/>
              <w:right w:val="nil"/>
            </w:tcBorders>
          </w:tcPr>
          <w:p w14:paraId="5DFD998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502" w:type="pct"/>
            <w:tcBorders>
              <w:top w:val="nil"/>
              <w:left w:val="nil"/>
              <w:bottom w:val="nil"/>
              <w:right w:val="nil"/>
            </w:tcBorders>
          </w:tcPr>
          <w:p w14:paraId="64F6AE4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96" w:type="pct"/>
            <w:tcBorders>
              <w:top w:val="nil"/>
              <w:left w:val="nil"/>
              <w:bottom w:val="nil"/>
              <w:right w:val="nil"/>
            </w:tcBorders>
          </w:tcPr>
          <w:p w14:paraId="668887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1EB1CC7A"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42" w:type="pct"/>
            <w:tcBorders>
              <w:top w:val="nil"/>
              <w:left w:val="nil"/>
              <w:bottom w:val="nil"/>
              <w:right w:val="nil"/>
            </w:tcBorders>
          </w:tcPr>
          <w:p w14:paraId="25FE142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86" w:type="pct"/>
            <w:tcBorders>
              <w:top w:val="nil"/>
              <w:left w:val="nil"/>
              <w:bottom w:val="nil"/>
              <w:right w:val="nil"/>
            </w:tcBorders>
          </w:tcPr>
          <w:p w14:paraId="1F56E51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63A0936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75" w:type="pct"/>
            <w:tcBorders>
              <w:top w:val="nil"/>
              <w:left w:val="nil"/>
              <w:bottom w:val="nil"/>
              <w:right w:val="nil"/>
            </w:tcBorders>
          </w:tcPr>
          <w:p w14:paraId="2243B8A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r>
      <w:tr w:rsidR="00E904EC" w:rsidRPr="00420412" w14:paraId="412869F5" w14:textId="77777777" w:rsidTr="00667B1B">
        <w:trPr>
          <w:trHeight w:val="227"/>
        </w:trPr>
        <w:tc>
          <w:tcPr>
            <w:tcW w:w="1060" w:type="pct"/>
            <w:tcBorders>
              <w:top w:val="nil"/>
              <w:left w:val="nil"/>
              <w:bottom w:val="nil"/>
              <w:right w:val="nil"/>
            </w:tcBorders>
          </w:tcPr>
          <w:p w14:paraId="4026FE73"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Volunteers</w:t>
            </w:r>
          </w:p>
        </w:tc>
        <w:tc>
          <w:tcPr>
            <w:tcW w:w="858" w:type="pct"/>
            <w:tcBorders>
              <w:top w:val="nil"/>
              <w:left w:val="nil"/>
              <w:bottom w:val="nil"/>
              <w:right w:val="nil"/>
            </w:tcBorders>
          </w:tcPr>
          <w:p w14:paraId="32FC539A"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1" w:type="pct"/>
            <w:tcBorders>
              <w:top w:val="nil"/>
              <w:left w:val="nil"/>
              <w:bottom w:val="nil"/>
              <w:right w:val="nil"/>
            </w:tcBorders>
          </w:tcPr>
          <w:p w14:paraId="151FFBE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502" w:type="pct"/>
            <w:tcBorders>
              <w:top w:val="nil"/>
              <w:left w:val="nil"/>
              <w:bottom w:val="nil"/>
              <w:right w:val="nil"/>
            </w:tcBorders>
          </w:tcPr>
          <w:p w14:paraId="070FDFA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96" w:type="pct"/>
            <w:tcBorders>
              <w:top w:val="nil"/>
              <w:left w:val="nil"/>
              <w:bottom w:val="nil"/>
              <w:right w:val="nil"/>
            </w:tcBorders>
          </w:tcPr>
          <w:p w14:paraId="0702EFF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16BDA83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42" w:type="pct"/>
            <w:tcBorders>
              <w:top w:val="nil"/>
              <w:left w:val="nil"/>
              <w:bottom w:val="nil"/>
              <w:right w:val="nil"/>
            </w:tcBorders>
          </w:tcPr>
          <w:p w14:paraId="04EAD74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86" w:type="pct"/>
            <w:tcBorders>
              <w:top w:val="nil"/>
              <w:left w:val="nil"/>
              <w:bottom w:val="nil"/>
              <w:right w:val="nil"/>
            </w:tcBorders>
          </w:tcPr>
          <w:p w14:paraId="40520A2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265C2C9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75" w:type="pct"/>
            <w:tcBorders>
              <w:top w:val="nil"/>
              <w:left w:val="nil"/>
              <w:bottom w:val="nil"/>
              <w:right w:val="nil"/>
            </w:tcBorders>
          </w:tcPr>
          <w:p w14:paraId="3927A66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r>
      <w:tr w:rsidR="00E904EC" w:rsidRPr="00420412" w14:paraId="6AAB6DCA" w14:textId="77777777" w:rsidTr="00667B1B">
        <w:trPr>
          <w:trHeight w:val="227"/>
        </w:trPr>
        <w:tc>
          <w:tcPr>
            <w:tcW w:w="1060" w:type="pct"/>
            <w:tcBorders>
              <w:top w:val="nil"/>
              <w:left w:val="nil"/>
              <w:bottom w:val="nil"/>
              <w:right w:val="nil"/>
            </w:tcBorders>
          </w:tcPr>
          <w:p w14:paraId="4675A4FC"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Trustees</w:t>
            </w:r>
          </w:p>
        </w:tc>
        <w:tc>
          <w:tcPr>
            <w:tcW w:w="858" w:type="pct"/>
            <w:tcBorders>
              <w:top w:val="nil"/>
              <w:left w:val="nil"/>
              <w:bottom w:val="nil"/>
              <w:right w:val="nil"/>
            </w:tcBorders>
          </w:tcPr>
          <w:p w14:paraId="2A472E3E"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1" w:type="pct"/>
            <w:tcBorders>
              <w:top w:val="nil"/>
              <w:left w:val="nil"/>
              <w:bottom w:val="nil"/>
              <w:right w:val="nil"/>
            </w:tcBorders>
          </w:tcPr>
          <w:p w14:paraId="07C5BA1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502" w:type="pct"/>
            <w:tcBorders>
              <w:top w:val="nil"/>
              <w:left w:val="nil"/>
              <w:bottom w:val="nil"/>
              <w:right w:val="nil"/>
            </w:tcBorders>
          </w:tcPr>
          <w:p w14:paraId="47800B3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96" w:type="pct"/>
            <w:tcBorders>
              <w:top w:val="nil"/>
              <w:left w:val="nil"/>
              <w:bottom w:val="nil"/>
              <w:right w:val="nil"/>
            </w:tcBorders>
          </w:tcPr>
          <w:p w14:paraId="163A620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58CF200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442" w:type="pct"/>
            <w:tcBorders>
              <w:top w:val="nil"/>
              <w:left w:val="nil"/>
              <w:bottom w:val="nil"/>
              <w:right w:val="nil"/>
            </w:tcBorders>
          </w:tcPr>
          <w:p w14:paraId="1D0C679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86" w:type="pct"/>
            <w:tcBorders>
              <w:top w:val="nil"/>
              <w:left w:val="nil"/>
              <w:bottom w:val="nil"/>
              <w:right w:val="nil"/>
            </w:tcBorders>
          </w:tcPr>
          <w:p w14:paraId="7FEEC46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05F268C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475" w:type="pct"/>
            <w:tcBorders>
              <w:top w:val="nil"/>
              <w:left w:val="nil"/>
              <w:bottom w:val="nil"/>
              <w:right w:val="nil"/>
            </w:tcBorders>
          </w:tcPr>
          <w:p w14:paraId="3FA9A854"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r>
      <w:tr w:rsidR="00667B1B" w:rsidRPr="00420412" w14:paraId="3C94D162" w14:textId="77777777" w:rsidTr="00667B1B">
        <w:trPr>
          <w:trHeight w:val="227"/>
        </w:trPr>
        <w:tc>
          <w:tcPr>
            <w:tcW w:w="1060" w:type="pct"/>
            <w:tcBorders>
              <w:top w:val="nil"/>
              <w:left w:val="nil"/>
              <w:bottom w:val="nil"/>
              <w:right w:val="nil"/>
            </w:tcBorders>
          </w:tcPr>
          <w:p w14:paraId="38A4DE17" w14:textId="4FC374F8" w:rsidR="00667B1B" w:rsidRPr="00420412" w:rsidRDefault="00667B1B" w:rsidP="00667B1B">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Area of Operation</w:t>
            </w:r>
          </w:p>
        </w:tc>
        <w:tc>
          <w:tcPr>
            <w:tcW w:w="858" w:type="pct"/>
            <w:tcBorders>
              <w:top w:val="nil"/>
              <w:left w:val="nil"/>
              <w:bottom w:val="nil"/>
              <w:right w:val="nil"/>
            </w:tcBorders>
          </w:tcPr>
          <w:p w14:paraId="27E8F09F" w14:textId="77777777" w:rsidR="00667B1B" w:rsidRPr="00420412" w:rsidRDefault="00667B1B" w:rsidP="00667B1B">
            <w:pPr>
              <w:widowControl w:val="0"/>
              <w:autoSpaceDE w:val="0"/>
              <w:autoSpaceDN w:val="0"/>
              <w:adjustRightInd w:val="0"/>
              <w:spacing w:line="240" w:lineRule="auto"/>
              <w:rPr>
                <w:rFonts w:ascii="Times New Roman" w:hAnsi="Times New Roman" w:cs="Times New Roman"/>
              </w:rPr>
            </w:pPr>
          </w:p>
        </w:tc>
        <w:tc>
          <w:tcPr>
            <w:tcW w:w="501" w:type="pct"/>
            <w:tcBorders>
              <w:top w:val="nil"/>
              <w:left w:val="nil"/>
              <w:bottom w:val="nil"/>
              <w:right w:val="nil"/>
            </w:tcBorders>
          </w:tcPr>
          <w:p w14:paraId="2E63DC8E" w14:textId="77777777" w:rsidR="00667B1B" w:rsidRPr="00420412" w:rsidRDefault="00667B1B" w:rsidP="00667B1B">
            <w:pPr>
              <w:jc w:val="right"/>
              <w:rPr>
                <w:rFonts w:ascii="Times New Roman" w:hAnsi="Times New Roman" w:cs="Times New Roman"/>
              </w:rPr>
            </w:pPr>
          </w:p>
        </w:tc>
        <w:tc>
          <w:tcPr>
            <w:tcW w:w="502" w:type="pct"/>
            <w:tcBorders>
              <w:top w:val="nil"/>
              <w:left w:val="nil"/>
              <w:bottom w:val="nil"/>
              <w:right w:val="nil"/>
            </w:tcBorders>
          </w:tcPr>
          <w:p w14:paraId="4810F06D" w14:textId="77777777" w:rsidR="00667B1B" w:rsidRPr="00420412" w:rsidRDefault="00667B1B" w:rsidP="00667B1B">
            <w:pPr>
              <w:jc w:val="right"/>
              <w:rPr>
                <w:rFonts w:ascii="Times New Roman" w:hAnsi="Times New Roman" w:cs="Times New Roman"/>
              </w:rPr>
            </w:pPr>
          </w:p>
        </w:tc>
        <w:tc>
          <w:tcPr>
            <w:tcW w:w="96" w:type="pct"/>
            <w:tcBorders>
              <w:top w:val="nil"/>
              <w:left w:val="nil"/>
              <w:bottom w:val="nil"/>
              <w:right w:val="nil"/>
            </w:tcBorders>
          </w:tcPr>
          <w:p w14:paraId="4CE47251" w14:textId="77777777" w:rsidR="00667B1B" w:rsidRPr="00420412" w:rsidRDefault="00667B1B" w:rsidP="00667B1B">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73027CC4" w14:textId="77777777" w:rsidR="00667B1B" w:rsidRPr="00420412" w:rsidRDefault="00667B1B" w:rsidP="00667B1B">
            <w:pPr>
              <w:jc w:val="right"/>
              <w:rPr>
                <w:rFonts w:ascii="Times New Roman" w:hAnsi="Times New Roman" w:cs="Times New Roman"/>
              </w:rPr>
            </w:pPr>
          </w:p>
        </w:tc>
        <w:tc>
          <w:tcPr>
            <w:tcW w:w="442" w:type="pct"/>
            <w:tcBorders>
              <w:top w:val="nil"/>
              <w:left w:val="nil"/>
              <w:bottom w:val="nil"/>
              <w:right w:val="nil"/>
            </w:tcBorders>
          </w:tcPr>
          <w:p w14:paraId="41796842" w14:textId="77777777" w:rsidR="00667B1B" w:rsidRPr="00420412" w:rsidRDefault="00667B1B" w:rsidP="00667B1B">
            <w:pPr>
              <w:jc w:val="right"/>
              <w:rPr>
                <w:rFonts w:ascii="Times New Roman" w:hAnsi="Times New Roman" w:cs="Times New Roman"/>
              </w:rPr>
            </w:pPr>
          </w:p>
        </w:tc>
        <w:tc>
          <w:tcPr>
            <w:tcW w:w="86" w:type="pct"/>
            <w:tcBorders>
              <w:top w:val="nil"/>
              <w:left w:val="nil"/>
              <w:bottom w:val="nil"/>
              <w:right w:val="nil"/>
            </w:tcBorders>
          </w:tcPr>
          <w:p w14:paraId="69A18BF5" w14:textId="77777777" w:rsidR="00667B1B" w:rsidRPr="00420412" w:rsidRDefault="00667B1B" w:rsidP="00667B1B">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758329FD" w14:textId="77777777" w:rsidR="00667B1B" w:rsidRPr="00420412" w:rsidRDefault="00667B1B" w:rsidP="00667B1B">
            <w:pPr>
              <w:jc w:val="right"/>
              <w:rPr>
                <w:rFonts w:ascii="Times New Roman" w:hAnsi="Times New Roman" w:cs="Times New Roman"/>
              </w:rPr>
            </w:pPr>
          </w:p>
        </w:tc>
        <w:tc>
          <w:tcPr>
            <w:tcW w:w="475" w:type="pct"/>
            <w:tcBorders>
              <w:top w:val="nil"/>
              <w:left w:val="nil"/>
              <w:bottom w:val="nil"/>
              <w:right w:val="nil"/>
            </w:tcBorders>
          </w:tcPr>
          <w:p w14:paraId="43EED602" w14:textId="77777777" w:rsidR="00667B1B" w:rsidRPr="00420412" w:rsidRDefault="00667B1B" w:rsidP="00667B1B">
            <w:pPr>
              <w:jc w:val="right"/>
              <w:rPr>
                <w:rFonts w:ascii="Times New Roman" w:hAnsi="Times New Roman" w:cs="Times New Roman"/>
              </w:rPr>
            </w:pPr>
          </w:p>
        </w:tc>
      </w:tr>
      <w:tr w:rsidR="00667B1B" w:rsidRPr="00420412" w14:paraId="4A4259CB" w14:textId="77777777" w:rsidTr="00667B1B">
        <w:trPr>
          <w:trHeight w:val="227"/>
        </w:trPr>
        <w:tc>
          <w:tcPr>
            <w:tcW w:w="1060" w:type="pct"/>
            <w:tcBorders>
              <w:top w:val="nil"/>
              <w:left w:val="nil"/>
              <w:bottom w:val="nil"/>
              <w:right w:val="nil"/>
            </w:tcBorders>
          </w:tcPr>
          <w:p w14:paraId="3EEA90AE" w14:textId="77777777" w:rsidR="00667B1B" w:rsidRPr="00420412" w:rsidRDefault="00667B1B" w:rsidP="00667B1B">
            <w:pPr>
              <w:widowControl w:val="0"/>
              <w:autoSpaceDE w:val="0"/>
              <w:autoSpaceDN w:val="0"/>
              <w:adjustRightInd w:val="0"/>
              <w:spacing w:after="0" w:line="240" w:lineRule="auto"/>
              <w:rPr>
                <w:rFonts w:ascii="Times New Roman" w:hAnsi="Times New Roman" w:cs="Times New Roman"/>
              </w:rPr>
            </w:pPr>
          </w:p>
        </w:tc>
        <w:tc>
          <w:tcPr>
            <w:tcW w:w="858" w:type="pct"/>
            <w:tcBorders>
              <w:top w:val="nil"/>
              <w:left w:val="nil"/>
              <w:bottom w:val="nil"/>
              <w:right w:val="nil"/>
            </w:tcBorders>
          </w:tcPr>
          <w:p w14:paraId="47BD37A8" w14:textId="186B2922" w:rsidR="00667B1B" w:rsidRPr="00420412" w:rsidRDefault="00667B1B" w:rsidP="00667B1B">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Local</w:t>
            </w:r>
          </w:p>
        </w:tc>
        <w:tc>
          <w:tcPr>
            <w:tcW w:w="501" w:type="pct"/>
            <w:tcBorders>
              <w:top w:val="nil"/>
              <w:left w:val="nil"/>
              <w:bottom w:val="nil"/>
              <w:right w:val="nil"/>
            </w:tcBorders>
          </w:tcPr>
          <w:p w14:paraId="410CF6B5" w14:textId="6215CB6D" w:rsidR="00667B1B" w:rsidRPr="00420412" w:rsidRDefault="00667B1B" w:rsidP="00667B1B">
            <w:pPr>
              <w:jc w:val="right"/>
              <w:rPr>
                <w:rFonts w:ascii="Times New Roman" w:hAnsi="Times New Roman" w:cs="Times New Roman"/>
              </w:rPr>
            </w:pPr>
            <w:r w:rsidRPr="00420412">
              <w:rPr>
                <w:rFonts w:ascii="Times New Roman" w:hAnsi="Times New Roman" w:cs="Times New Roman"/>
              </w:rPr>
              <w:t>Ref.</w:t>
            </w:r>
          </w:p>
        </w:tc>
        <w:tc>
          <w:tcPr>
            <w:tcW w:w="502" w:type="pct"/>
            <w:tcBorders>
              <w:top w:val="nil"/>
              <w:left w:val="nil"/>
              <w:bottom w:val="nil"/>
              <w:right w:val="nil"/>
            </w:tcBorders>
          </w:tcPr>
          <w:p w14:paraId="29614CF4" w14:textId="7929F8C6" w:rsidR="00667B1B" w:rsidRPr="00420412" w:rsidRDefault="00667B1B" w:rsidP="00667B1B">
            <w:pPr>
              <w:jc w:val="right"/>
              <w:rPr>
                <w:rFonts w:ascii="Times New Roman" w:hAnsi="Times New Roman" w:cs="Times New Roman"/>
              </w:rPr>
            </w:pPr>
            <w:r w:rsidRPr="00420412">
              <w:rPr>
                <w:rFonts w:ascii="Times New Roman" w:hAnsi="Times New Roman" w:cs="Times New Roman"/>
              </w:rPr>
              <w:t>–</w:t>
            </w:r>
          </w:p>
        </w:tc>
        <w:tc>
          <w:tcPr>
            <w:tcW w:w="96" w:type="pct"/>
            <w:tcBorders>
              <w:top w:val="nil"/>
              <w:left w:val="nil"/>
              <w:bottom w:val="nil"/>
              <w:right w:val="nil"/>
            </w:tcBorders>
          </w:tcPr>
          <w:p w14:paraId="14D20642" w14:textId="77777777" w:rsidR="00667B1B" w:rsidRPr="00420412" w:rsidRDefault="00667B1B" w:rsidP="00667B1B">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5846CEBE" w14:textId="5A39BE83" w:rsidR="00667B1B" w:rsidRPr="00420412" w:rsidRDefault="00667B1B" w:rsidP="00667B1B">
            <w:pPr>
              <w:jc w:val="right"/>
              <w:rPr>
                <w:rFonts w:ascii="Times New Roman" w:hAnsi="Times New Roman" w:cs="Times New Roman"/>
              </w:rPr>
            </w:pPr>
            <w:r w:rsidRPr="00420412">
              <w:rPr>
                <w:rFonts w:ascii="Times New Roman" w:hAnsi="Times New Roman" w:cs="Times New Roman"/>
              </w:rPr>
              <w:t>Ref.</w:t>
            </w:r>
          </w:p>
        </w:tc>
        <w:tc>
          <w:tcPr>
            <w:tcW w:w="442" w:type="pct"/>
            <w:tcBorders>
              <w:top w:val="nil"/>
              <w:left w:val="nil"/>
              <w:bottom w:val="nil"/>
              <w:right w:val="nil"/>
            </w:tcBorders>
          </w:tcPr>
          <w:p w14:paraId="2F7634C7" w14:textId="744E87B8" w:rsidR="00667B1B" w:rsidRPr="00420412" w:rsidRDefault="00667B1B" w:rsidP="00667B1B">
            <w:pPr>
              <w:jc w:val="right"/>
              <w:rPr>
                <w:rFonts w:ascii="Times New Roman" w:hAnsi="Times New Roman" w:cs="Times New Roman"/>
              </w:rPr>
            </w:pPr>
            <w:r w:rsidRPr="00420412">
              <w:rPr>
                <w:rFonts w:ascii="Times New Roman" w:hAnsi="Times New Roman" w:cs="Times New Roman"/>
              </w:rPr>
              <w:t>–</w:t>
            </w:r>
          </w:p>
        </w:tc>
        <w:tc>
          <w:tcPr>
            <w:tcW w:w="86" w:type="pct"/>
            <w:tcBorders>
              <w:top w:val="nil"/>
              <w:left w:val="nil"/>
              <w:bottom w:val="nil"/>
              <w:right w:val="nil"/>
            </w:tcBorders>
          </w:tcPr>
          <w:p w14:paraId="64D38364" w14:textId="77777777" w:rsidR="00667B1B" w:rsidRPr="00420412" w:rsidRDefault="00667B1B" w:rsidP="00667B1B">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21649003" w14:textId="03B99FC6" w:rsidR="00667B1B" w:rsidRPr="00420412" w:rsidRDefault="00667B1B" w:rsidP="00667B1B">
            <w:pPr>
              <w:jc w:val="right"/>
              <w:rPr>
                <w:rFonts w:ascii="Times New Roman" w:hAnsi="Times New Roman" w:cs="Times New Roman"/>
              </w:rPr>
            </w:pPr>
            <w:r w:rsidRPr="00420412">
              <w:rPr>
                <w:rFonts w:ascii="Times New Roman" w:hAnsi="Times New Roman" w:cs="Times New Roman"/>
              </w:rPr>
              <w:t>Ref.</w:t>
            </w:r>
          </w:p>
        </w:tc>
        <w:tc>
          <w:tcPr>
            <w:tcW w:w="475" w:type="pct"/>
            <w:tcBorders>
              <w:top w:val="nil"/>
              <w:left w:val="nil"/>
              <w:bottom w:val="nil"/>
              <w:right w:val="nil"/>
            </w:tcBorders>
          </w:tcPr>
          <w:p w14:paraId="29F58028" w14:textId="03332136" w:rsidR="00667B1B" w:rsidRPr="00420412" w:rsidRDefault="00667B1B" w:rsidP="00667B1B">
            <w:pPr>
              <w:jc w:val="right"/>
              <w:rPr>
                <w:rFonts w:ascii="Times New Roman" w:hAnsi="Times New Roman" w:cs="Times New Roman"/>
              </w:rPr>
            </w:pPr>
            <w:r w:rsidRPr="00420412">
              <w:rPr>
                <w:rFonts w:ascii="Times New Roman" w:hAnsi="Times New Roman" w:cs="Times New Roman"/>
              </w:rPr>
              <w:t>–</w:t>
            </w:r>
          </w:p>
        </w:tc>
      </w:tr>
      <w:tr w:rsidR="00667B1B" w:rsidRPr="00420412" w14:paraId="56E10F5E" w14:textId="77777777" w:rsidTr="00667B1B">
        <w:trPr>
          <w:trHeight w:val="227"/>
        </w:trPr>
        <w:tc>
          <w:tcPr>
            <w:tcW w:w="1060" w:type="pct"/>
            <w:tcBorders>
              <w:top w:val="nil"/>
              <w:left w:val="nil"/>
              <w:bottom w:val="nil"/>
              <w:right w:val="nil"/>
            </w:tcBorders>
          </w:tcPr>
          <w:p w14:paraId="4AE6BB22" w14:textId="77777777" w:rsidR="00667B1B" w:rsidRPr="00420412" w:rsidRDefault="00667B1B" w:rsidP="00667B1B">
            <w:pPr>
              <w:widowControl w:val="0"/>
              <w:autoSpaceDE w:val="0"/>
              <w:autoSpaceDN w:val="0"/>
              <w:adjustRightInd w:val="0"/>
              <w:spacing w:after="0" w:line="240" w:lineRule="auto"/>
              <w:rPr>
                <w:rFonts w:ascii="Times New Roman" w:hAnsi="Times New Roman" w:cs="Times New Roman"/>
              </w:rPr>
            </w:pPr>
          </w:p>
        </w:tc>
        <w:tc>
          <w:tcPr>
            <w:tcW w:w="858" w:type="pct"/>
            <w:tcBorders>
              <w:top w:val="nil"/>
              <w:left w:val="nil"/>
              <w:bottom w:val="nil"/>
              <w:right w:val="nil"/>
            </w:tcBorders>
          </w:tcPr>
          <w:p w14:paraId="10A5D3BF" w14:textId="5B8DC385" w:rsidR="00667B1B" w:rsidRPr="00420412" w:rsidRDefault="00667B1B" w:rsidP="00667B1B">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National</w:t>
            </w:r>
          </w:p>
        </w:tc>
        <w:tc>
          <w:tcPr>
            <w:tcW w:w="501" w:type="pct"/>
            <w:tcBorders>
              <w:top w:val="nil"/>
              <w:left w:val="nil"/>
              <w:bottom w:val="nil"/>
              <w:right w:val="nil"/>
            </w:tcBorders>
          </w:tcPr>
          <w:p w14:paraId="44B8EDA6" w14:textId="6892BA48" w:rsidR="00667B1B" w:rsidRPr="00420412" w:rsidRDefault="00667B1B" w:rsidP="00667B1B">
            <w:pPr>
              <w:jc w:val="right"/>
              <w:rPr>
                <w:rFonts w:ascii="Times New Roman" w:hAnsi="Times New Roman" w:cs="Times New Roman"/>
              </w:rPr>
            </w:pPr>
            <w:r w:rsidRPr="00420412">
              <w:rPr>
                <w:rFonts w:ascii="Times New Roman" w:hAnsi="Times New Roman" w:cs="Times New Roman"/>
              </w:rPr>
              <w:t>-0.11</w:t>
            </w:r>
          </w:p>
        </w:tc>
        <w:tc>
          <w:tcPr>
            <w:tcW w:w="502" w:type="pct"/>
            <w:tcBorders>
              <w:top w:val="nil"/>
              <w:left w:val="nil"/>
              <w:bottom w:val="nil"/>
              <w:right w:val="nil"/>
            </w:tcBorders>
          </w:tcPr>
          <w:p w14:paraId="0581DA0A" w14:textId="60013B63" w:rsidR="00667B1B" w:rsidRPr="00420412" w:rsidRDefault="00667B1B" w:rsidP="00667B1B">
            <w:pPr>
              <w:jc w:val="right"/>
              <w:rPr>
                <w:rFonts w:ascii="Times New Roman" w:hAnsi="Times New Roman" w:cs="Times New Roman"/>
              </w:rPr>
            </w:pPr>
            <w:r w:rsidRPr="00420412">
              <w:rPr>
                <w:rFonts w:ascii="Times New Roman" w:hAnsi="Times New Roman" w:cs="Times New Roman"/>
              </w:rPr>
              <w:t>0.07</w:t>
            </w:r>
          </w:p>
        </w:tc>
        <w:tc>
          <w:tcPr>
            <w:tcW w:w="96" w:type="pct"/>
            <w:tcBorders>
              <w:top w:val="nil"/>
              <w:left w:val="nil"/>
              <w:bottom w:val="nil"/>
              <w:right w:val="nil"/>
            </w:tcBorders>
          </w:tcPr>
          <w:p w14:paraId="61967837" w14:textId="77777777" w:rsidR="00667B1B" w:rsidRPr="00420412" w:rsidRDefault="00667B1B" w:rsidP="00667B1B">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648EB3DD" w14:textId="2A504000" w:rsidR="00667B1B" w:rsidRPr="00420412" w:rsidRDefault="00667B1B" w:rsidP="00667B1B">
            <w:pPr>
              <w:jc w:val="right"/>
              <w:rPr>
                <w:rFonts w:ascii="Times New Roman" w:hAnsi="Times New Roman" w:cs="Times New Roman"/>
              </w:rPr>
            </w:pPr>
            <w:r w:rsidRPr="00420412">
              <w:rPr>
                <w:rFonts w:ascii="Times New Roman" w:hAnsi="Times New Roman" w:cs="Times New Roman"/>
              </w:rPr>
              <w:t>0.19*</w:t>
            </w:r>
          </w:p>
        </w:tc>
        <w:tc>
          <w:tcPr>
            <w:tcW w:w="442" w:type="pct"/>
            <w:tcBorders>
              <w:top w:val="nil"/>
              <w:left w:val="nil"/>
              <w:bottom w:val="nil"/>
              <w:right w:val="nil"/>
            </w:tcBorders>
          </w:tcPr>
          <w:p w14:paraId="519715FA" w14:textId="63B3FD37" w:rsidR="00667B1B" w:rsidRPr="00420412" w:rsidRDefault="00667B1B" w:rsidP="00667B1B">
            <w:pPr>
              <w:jc w:val="right"/>
              <w:rPr>
                <w:rFonts w:ascii="Times New Roman" w:hAnsi="Times New Roman" w:cs="Times New Roman"/>
              </w:rPr>
            </w:pPr>
            <w:r w:rsidRPr="00420412">
              <w:rPr>
                <w:rFonts w:ascii="Times New Roman" w:hAnsi="Times New Roman" w:cs="Times New Roman"/>
              </w:rPr>
              <w:t>0.09</w:t>
            </w:r>
          </w:p>
        </w:tc>
        <w:tc>
          <w:tcPr>
            <w:tcW w:w="86" w:type="pct"/>
            <w:tcBorders>
              <w:top w:val="nil"/>
              <w:left w:val="nil"/>
              <w:bottom w:val="nil"/>
              <w:right w:val="nil"/>
            </w:tcBorders>
          </w:tcPr>
          <w:p w14:paraId="2C32F8DB" w14:textId="77777777" w:rsidR="00667B1B" w:rsidRPr="00420412" w:rsidRDefault="00667B1B" w:rsidP="00667B1B">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3A81A5A7" w14:textId="0B06102F" w:rsidR="00667B1B" w:rsidRPr="00420412" w:rsidRDefault="00667B1B" w:rsidP="00667B1B">
            <w:pPr>
              <w:jc w:val="right"/>
              <w:rPr>
                <w:rFonts w:ascii="Times New Roman" w:hAnsi="Times New Roman" w:cs="Times New Roman"/>
              </w:rPr>
            </w:pPr>
            <w:r w:rsidRPr="00420412">
              <w:rPr>
                <w:rFonts w:ascii="Times New Roman" w:hAnsi="Times New Roman" w:cs="Times New Roman"/>
              </w:rPr>
              <w:t>0.19**</w:t>
            </w:r>
          </w:p>
        </w:tc>
        <w:tc>
          <w:tcPr>
            <w:tcW w:w="475" w:type="pct"/>
            <w:tcBorders>
              <w:top w:val="nil"/>
              <w:left w:val="nil"/>
              <w:bottom w:val="nil"/>
              <w:right w:val="nil"/>
            </w:tcBorders>
          </w:tcPr>
          <w:p w14:paraId="1ABCC512" w14:textId="02A78F74" w:rsidR="00667B1B" w:rsidRPr="00420412" w:rsidRDefault="00667B1B" w:rsidP="00667B1B">
            <w:pPr>
              <w:jc w:val="right"/>
              <w:rPr>
                <w:rFonts w:ascii="Times New Roman" w:hAnsi="Times New Roman" w:cs="Times New Roman"/>
              </w:rPr>
            </w:pPr>
            <w:r w:rsidRPr="00420412">
              <w:rPr>
                <w:rFonts w:ascii="Times New Roman" w:hAnsi="Times New Roman" w:cs="Times New Roman"/>
              </w:rPr>
              <w:t>0.07</w:t>
            </w:r>
          </w:p>
        </w:tc>
      </w:tr>
      <w:tr w:rsidR="00667B1B" w:rsidRPr="00420412" w14:paraId="45F4A994" w14:textId="77777777" w:rsidTr="00667B1B">
        <w:trPr>
          <w:trHeight w:val="227"/>
        </w:trPr>
        <w:tc>
          <w:tcPr>
            <w:tcW w:w="1060" w:type="pct"/>
            <w:tcBorders>
              <w:top w:val="nil"/>
              <w:left w:val="nil"/>
              <w:bottom w:val="nil"/>
              <w:right w:val="nil"/>
            </w:tcBorders>
          </w:tcPr>
          <w:p w14:paraId="638A6D1E" w14:textId="77777777" w:rsidR="00667B1B" w:rsidRPr="00420412" w:rsidRDefault="00667B1B" w:rsidP="00667B1B">
            <w:pPr>
              <w:widowControl w:val="0"/>
              <w:autoSpaceDE w:val="0"/>
              <w:autoSpaceDN w:val="0"/>
              <w:adjustRightInd w:val="0"/>
              <w:spacing w:after="0" w:line="240" w:lineRule="auto"/>
              <w:rPr>
                <w:rFonts w:ascii="Times New Roman" w:hAnsi="Times New Roman" w:cs="Times New Roman"/>
              </w:rPr>
            </w:pPr>
          </w:p>
        </w:tc>
        <w:tc>
          <w:tcPr>
            <w:tcW w:w="858" w:type="pct"/>
            <w:tcBorders>
              <w:top w:val="nil"/>
              <w:left w:val="nil"/>
              <w:bottom w:val="nil"/>
              <w:right w:val="nil"/>
            </w:tcBorders>
          </w:tcPr>
          <w:p w14:paraId="5089066B" w14:textId="71370757" w:rsidR="00667B1B" w:rsidRPr="00420412" w:rsidRDefault="00667B1B" w:rsidP="00667B1B">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International</w:t>
            </w:r>
          </w:p>
        </w:tc>
        <w:tc>
          <w:tcPr>
            <w:tcW w:w="501" w:type="pct"/>
            <w:tcBorders>
              <w:top w:val="nil"/>
              <w:left w:val="nil"/>
              <w:bottom w:val="nil"/>
              <w:right w:val="nil"/>
            </w:tcBorders>
          </w:tcPr>
          <w:p w14:paraId="33C80DA4" w14:textId="67218945" w:rsidR="00667B1B" w:rsidRPr="00420412" w:rsidRDefault="00667B1B" w:rsidP="00667B1B">
            <w:pPr>
              <w:jc w:val="right"/>
              <w:rPr>
                <w:rFonts w:ascii="Times New Roman" w:hAnsi="Times New Roman" w:cs="Times New Roman"/>
              </w:rPr>
            </w:pPr>
            <w:r w:rsidRPr="00420412">
              <w:rPr>
                <w:rFonts w:ascii="Times New Roman" w:hAnsi="Times New Roman" w:cs="Times New Roman"/>
              </w:rPr>
              <w:t>-0.31*</w:t>
            </w:r>
          </w:p>
        </w:tc>
        <w:tc>
          <w:tcPr>
            <w:tcW w:w="502" w:type="pct"/>
            <w:tcBorders>
              <w:top w:val="nil"/>
              <w:left w:val="nil"/>
              <w:bottom w:val="nil"/>
              <w:right w:val="nil"/>
            </w:tcBorders>
          </w:tcPr>
          <w:p w14:paraId="1CC00D18" w14:textId="0C9C05CB" w:rsidR="00667B1B" w:rsidRPr="00420412" w:rsidRDefault="00667B1B" w:rsidP="00667B1B">
            <w:pPr>
              <w:jc w:val="right"/>
              <w:rPr>
                <w:rFonts w:ascii="Times New Roman" w:hAnsi="Times New Roman" w:cs="Times New Roman"/>
              </w:rPr>
            </w:pPr>
            <w:r w:rsidRPr="00420412">
              <w:rPr>
                <w:rFonts w:ascii="Times New Roman" w:hAnsi="Times New Roman" w:cs="Times New Roman"/>
              </w:rPr>
              <w:t>0.13</w:t>
            </w:r>
          </w:p>
        </w:tc>
        <w:tc>
          <w:tcPr>
            <w:tcW w:w="96" w:type="pct"/>
            <w:tcBorders>
              <w:top w:val="nil"/>
              <w:left w:val="nil"/>
              <w:bottom w:val="nil"/>
              <w:right w:val="nil"/>
            </w:tcBorders>
          </w:tcPr>
          <w:p w14:paraId="0EC31442" w14:textId="77777777" w:rsidR="00667B1B" w:rsidRPr="00420412" w:rsidRDefault="00667B1B" w:rsidP="00667B1B">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6CECE6D7" w14:textId="5896FB89" w:rsidR="00667B1B" w:rsidRPr="00420412" w:rsidRDefault="00667B1B" w:rsidP="00667B1B">
            <w:pPr>
              <w:jc w:val="right"/>
              <w:rPr>
                <w:rFonts w:ascii="Times New Roman" w:hAnsi="Times New Roman" w:cs="Times New Roman"/>
              </w:rPr>
            </w:pPr>
            <w:r w:rsidRPr="00420412">
              <w:rPr>
                <w:rFonts w:ascii="Times New Roman" w:hAnsi="Times New Roman" w:cs="Times New Roman"/>
              </w:rPr>
              <w:t>0.38*</w:t>
            </w:r>
          </w:p>
        </w:tc>
        <w:tc>
          <w:tcPr>
            <w:tcW w:w="442" w:type="pct"/>
            <w:tcBorders>
              <w:top w:val="nil"/>
              <w:left w:val="nil"/>
              <w:bottom w:val="nil"/>
              <w:right w:val="nil"/>
            </w:tcBorders>
          </w:tcPr>
          <w:p w14:paraId="5760AF27" w14:textId="333C98DA" w:rsidR="00667B1B" w:rsidRPr="00420412" w:rsidRDefault="00667B1B" w:rsidP="00667B1B">
            <w:pPr>
              <w:jc w:val="right"/>
              <w:rPr>
                <w:rFonts w:ascii="Times New Roman" w:hAnsi="Times New Roman" w:cs="Times New Roman"/>
              </w:rPr>
            </w:pPr>
            <w:r w:rsidRPr="00420412">
              <w:rPr>
                <w:rFonts w:ascii="Times New Roman" w:hAnsi="Times New Roman" w:cs="Times New Roman"/>
              </w:rPr>
              <w:t>0.15</w:t>
            </w:r>
          </w:p>
        </w:tc>
        <w:tc>
          <w:tcPr>
            <w:tcW w:w="86" w:type="pct"/>
            <w:tcBorders>
              <w:top w:val="nil"/>
              <w:left w:val="nil"/>
              <w:bottom w:val="nil"/>
              <w:right w:val="nil"/>
            </w:tcBorders>
          </w:tcPr>
          <w:p w14:paraId="332C5E7C" w14:textId="77777777" w:rsidR="00667B1B" w:rsidRPr="00420412" w:rsidRDefault="00667B1B" w:rsidP="00667B1B">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4831836D" w14:textId="36C0B41E" w:rsidR="00667B1B" w:rsidRPr="00420412" w:rsidRDefault="00667B1B" w:rsidP="00667B1B">
            <w:pPr>
              <w:jc w:val="right"/>
              <w:rPr>
                <w:rFonts w:ascii="Times New Roman" w:hAnsi="Times New Roman" w:cs="Times New Roman"/>
              </w:rPr>
            </w:pPr>
            <w:r w:rsidRPr="00420412">
              <w:rPr>
                <w:rFonts w:ascii="Times New Roman" w:hAnsi="Times New Roman" w:cs="Times New Roman"/>
              </w:rPr>
              <w:t>0.03</w:t>
            </w:r>
          </w:p>
        </w:tc>
        <w:tc>
          <w:tcPr>
            <w:tcW w:w="475" w:type="pct"/>
            <w:tcBorders>
              <w:top w:val="nil"/>
              <w:left w:val="nil"/>
              <w:bottom w:val="nil"/>
              <w:right w:val="nil"/>
            </w:tcBorders>
          </w:tcPr>
          <w:p w14:paraId="2E8BD845" w14:textId="19CAC355" w:rsidR="00667B1B" w:rsidRPr="00420412" w:rsidRDefault="00667B1B" w:rsidP="00667B1B">
            <w:pPr>
              <w:jc w:val="right"/>
              <w:rPr>
                <w:rFonts w:ascii="Times New Roman" w:hAnsi="Times New Roman" w:cs="Times New Roman"/>
              </w:rPr>
            </w:pPr>
            <w:r w:rsidRPr="00420412">
              <w:rPr>
                <w:rFonts w:ascii="Times New Roman" w:hAnsi="Times New Roman" w:cs="Times New Roman"/>
              </w:rPr>
              <w:t>0.14</w:t>
            </w:r>
          </w:p>
        </w:tc>
      </w:tr>
      <w:tr w:rsidR="00667B1B" w:rsidRPr="00420412" w14:paraId="4E078EF6" w14:textId="77777777" w:rsidTr="00667B1B">
        <w:trPr>
          <w:trHeight w:val="227"/>
        </w:trPr>
        <w:tc>
          <w:tcPr>
            <w:tcW w:w="1060" w:type="pct"/>
            <w:tcBorders>
              <w:top w:val="nil"/>
              <w:left w:val="nil"/>
              <w:bottom w:val="nil"/>
              <w:right w:val="nil"/>
            </w:tcBorders>
          </w:tcPr>
          <w:p w14:paraId="4D9FBEF7" w14:textId="77777777" w:rsidR="00667B1B" w:rsidRPr="00420412" w:rsidRDefault="00667B1B" w:rsidP="00667B1B">
            <w:pPr>
              <w:widowControl w:val="0"/>
              <w:tabs>
                <w:tab w:val="left" w:pos="1845"/>
              </w:tabs>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i/>
              </w:rPr>
              <w:t>n</w:t>
            </w:r>
          </w:p>
        </w:tc>
        <w:tc>
          <w:tcPr>
            <w:tcW w:w="858" w:type="pct"/>
            <w:tcBorders>
              <w:top w:val="nil"/>
              <w:left w:val="nil"/>
              <w:bottom w:val="nil"/>
              <w:right w:val="nil"/>
            </w:tcBorders>
          </w:tcPr>
          <w:p w14:paraId="046DE8BE" w14:textId="77777777" w:rsidR="00667B1B" w:rsidRPr="00420412" w:rsidRDefault="00667B1B" w:rsidP="00667B1B">
            <w:pPr>
              <w:widowControl w:val="0"/>
              <w:autoSpaceDE w:val="0"/>
              <w:autoSpaceDN w:val="0"/>
              <w:adjustRightInd w:val="0"/>
              <w:spacing w:line="240" w:lineRule="auto"/>
              <w:jc w:val="center"/>
              <w:rPr>
                <w:rFonts w:ascii="Times New Roman" w:hAnsi="Times New Roman" w:cs="Times New Roman"/>
              </w:rPr>
            </w:pPr>
          </w:p>
        </w:tc>
        <w:tc>
          <w:tcPr>
            <w:tcW w:w="3082" w:type="pct"/>
            <w:gridSpan w:val="8"/>
            <w:tcBorders>
              <w:top w:val="nil"/>
              <w:left w:val="nil"/>
              <w:bottom w:val="nil"/>
              <w:right w:val="nil"/>
            </w:tcBorders>
          </w:tcPr>
          <w:p w14:paraId="078680CB" w14:textId="5E7DA205" w:rsidR="00667B1B" w:rsidRPr="00420412" w:rsidRDefault="00667B1B" w:rsidP="00667B1B">
            <w:pPr>
              <w:widowControl w:val="0"/>
              <w:autoSpaceDE w:val="0"/>
              <w:autoSpaceDN w:val="0"/>
              <w:adjustRightInd w:val="0"/>
              <w:spacing w:line="240" w:lineRule="auto"/>
              <w:jc w:val="center"/>
              <w:rPr>
                <w:rFonts w:ascii="Times New Roman" w:hAnsi="Times New Roman" w:cs="Times New Roman"/>
              </w:rPr>
            </w:pPr>
            <w:r w:rsidRPr="00ED4DB1">
              <w:rPr>
                <w:rFonts w:ascii="Times New Roman" w:hAnsi="Times New Roman" w:cs="Times New Roman"/>
              </w:rPr>
              <w:t>29,458</w:t>
            </w:r>
          </w:p>
        </w:tc>
      </w:tr>
      <w:tr w:rsidR="00667B1B" w:rsidRPr="00420412" w14:paraId="22E6AC2A" w14:textId="77777777" w:rsidTr="00667B1B">
        <w:tblPrEx>
          <w:tblBorders>
            <w:bottom w:val="single" w:sz="6" w:space="0" w:color="auto"/>
          </w:tblBorders>
        </w:tblPrEx>
        <w:trPr>
          <w:trHeight w:val="227"/>
        </w:trPr>
        <w:tc>
          <w:tcPr>
            <w:tcW w:w="1060" w:type="pct"/>
            <w:tcBorders>
              <w:top w:val="nil"/>
              <w:left w:val="nil"/>
              <w:bottom w:val="nil"/>
              <w:right w:val="nil"/>
            </w:tcBorders>
          </w:tcPr>
          <w:p w14:paraId="13045B72" w14:textId="77777777" w:rsidR="00667B1B" w:rsidRPr="00420412" w:rsidRDefault="00667B1B" w:rsidP="00667B1B">
            <w:pPr>
              <w:widowControl w:val="0"/>
              <w:autoSpaceDE w:val="0"/>
              <w:autoSpaceDN w:val="0"/>
              <w:adjustRightInd w:val="0"/>
              <w:spacing w:line="240" w:lineRule="auto"/>
              <w:rPr>
                <w:rFonts w:ascii="Times New Roman" w:hAnsi="Times New Roman" w:cs="Times New Roman"/>
                <w:vertAlign w:val="superscript"/>
              </w:rPr>
            </w:pPr>
            <w:r w:rsidRPr="00420412">
              <w:rPr>
                <w:rFonts w:ascii="Times New Roman" w:hAnsi="Times New Roman" w:cs="Times New Roman"/>
              </w:rPr>
              <w:t>McFadden’s adjusted R</w:t>
            </w:r>
            <w:r w:rsidRPr="00420412">
              <w:rPr>
                <w:rFonts w:ascii="Times New Roman" w:hAnsi="Times New Roman" w:cs="Times New Roman"/>
                <w:vertAlign w:val="superscript"/>
              </w:rPr>
              <w:t>2</w:t>
            </w:r>
          </w:p>
        </w:tc>
        <w:tc>
          <w:tcPr>
            <w:tcW w:w="858" w:type="pct"/>
            <w:tcBorders>
              <w:top w:val="nil"/>
              <w:left w:val="nil"/>
              <w:bottom w:val="nil"/>
              <w:right w:val="nil"/>
            </w:tcBorders>
          </w:tcPr>
          <w:p w14:paraId="2934E35B" w14:textId="77777777" w:rsidR="00667B1B" w:rsidRPr="00420412" w:rsidRDefault="00667B1B" w:rsidP="00667B1B">
            <w:pPr>
              <w:widowControl w:val="0"/>
              <w:autoSpaceDE w:val="0"/>
              <w:autoSpaceDN w:val="0"/>
              <w:adjustRightInd w:val="0"/>
              <w:spacing w:line="240" w:lineRule="auto"/>
              <w:jc w:val="center"/>
              <w:rPr>
                <w:rFonts w:ascii="Times New Roman" w:hAnsi="Times New Roman" w:cs="Times New Roman"/>
              </w:rPr>
            </w:pPr>
          </w:p>
        </w:tc>
        <w:tc>
          <w:tcPr>
            <w:tcW w:w="3082" w:type="pct"/>
            <w:gridSpan w:val="8"/>
            <w:tcBorders>
              <w:top w:val="nil"/>
              <w:left w:val="nil"/>
              <w:bottom w:val="nil"/>
              <w:right w:val="nil"/>
            </w:tcBorders>
          </w:tcPr>
          <w:p w14:paraId="6D02E3B6" w14:textId="77777777" w:rsidR="00667B1B" w:rsidRPr="00420412" w:rsidRDefault="00667B1B" w:rsidP="00667B1B">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0.42</w:t>
            </w:r>
          </w:p>
        </w:tc>
      </w:tr>
      <w:tr w:rsidR="00667B1B" w:rsidRPr="00420412" w14:paraId="10D8D58D" w14:textId="77777777" w:rsidTr="00667B1B">
        <w:tblPrEx>
          <w:tblBorders>
            <w:bottom w:val="single" w:sz="6" w:space="0" w:color="auto"/>
          </w:tblBorders>
        </w:tblPrEx>
        <w:trPr>
          <w:trHeight w:val="227"/>
        </w:trPr>
        <w:tc>
          <w:tcPr>
            <w:tcW w:w="1060" w:type="pct"/>
            <w:tcBorders>
              <w:top w:val="nil"/>
              <w:left w:val="nil"/>
              <w:bottom w:val="nil"/>
              <w:right w:val="nil"/>
            </w:tcBorders>
          </w:tcPr>
          <w:p w14:paraId="0667823B" w14:textId="77777777" w:rsidR="00667B1B" w:rsidRPr="00420412" w:rsidRDefault="00667B1B" w:rsidP="00667B1B">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Cox-Snell R</w:t>
            </w:r>
            <w:r w:rsidRPr="00420412">
              <w:rPr>
                <w:rFonts w:ascii="Times New Roman" w:hAnsi="Times New Roman" w:cs="Times New Roman"/>
                <w:vertAlign w:val="superscript"/>
              </w:rPr>
              <w:t>2</w:t>
            </w:r>
          </w:p>
        </w:tc>
        <w:tc>
          <w:tcPr>
            <w:tcW w:w="858" w:type="pct"/>
            <w:tcBorders>
              <w:top w:val="nil"/>
              <w:left w:val="nil"/>
              <w:bottom w:val="nil"/>
              <w:right w:val="nil"/>
            </w:tcBorders>
          </w:tcPr>
          <w:p w14:paraId="4BFBC309" w14:textId="77777777" w:rsidR="00667B1B" w:rsidRPr="00420412" w:rsidRDefault="00667B1B" w:rsidP="00667B1B">
            <w:pPr>
              <w:widowControl w:val="0"/>
              <w:autoSpaceDE w:val="0"/>
              <w:autoSpaceDN w:val="0"/>
              <w:adjustRightInd w:val="0"/>
              <w:spacing w:line="240" w:lineRule="auto"/>
              <w:jc w:val="center"/>
              <w:rPr>
                <w:rFonts w:ascii="Times New Roman" w:hAnsi="Times New Roman" w:cs="Times New Roman"/>
              </w:rPr>
            </w:pPr>
          </w:p>
        </w:tc>
        <w:tc>
          <w:tcPr>
            <w:tcW w:w="3082" w:type="pct"/>
            <w:gridSpan w:val="8"/>
            <w:tcBorders>
              <w:top w:val="nil"/>
              <w:left w:val="nil"/>
              <w:bottom w:val="nil"/>
              <w:right w:val="nil"/>
            </w:tcBorders>
          </w:tcPr>
          <w:p w14:paraId="1476138D" w14:textId="77777777" w:rsidR="00667B1B" w:rsidRPr="00420412" w:rsidRDefault="00667B1B" w:rsidP="00667B1B">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0.46</w:t>
            </w:r>
          </w:p>
        </w:tc>
      </w:tr>
      <w:tr w:rsidR="00667B1B" w:rsidRPr="00420412" w14:paraId="1B6CCF24" w14:textId="77777777" w:rsidTr="00667B1B">
        <w:tblPrEx>
          <w:tblBorders>
            <w:bottom w:val="single" w:sz="6" w:space="0" w:color="auto"/>
          </w:tblBorders>
        </w:tblPrEx>
        <w:trPr>
          <w:trHeight w:val="227"/>
        </w:trPr>
        <w:tc>
          <w:tcPr>
            <w:tcW w:w="1060" w:type="pct"/>
            <w:tcBorders>
              <w:top w:val="nil"/>
              <w:left w:val="nil"/>
              <w:bottom w:val="nil"/>
              <w:right w:val="nil"/>
            </w:tcBorders>
          </w:tcPr>
          <w:p w14:paraId="69854714" w14:textId="77777777" w:rsidR="00667B1B" w:rsidRPr="00420412" w:rsidRDefault="00667B1B" w:rsidP="00667B1B">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Cragg and Uhler’s R</w:t>
            </w:r>
            <w:r w:rsidRPr="00420412">
              <w:rPr>
                <w:rFonts w:ascii="Times New Roman" w:hAnsi="Times New Roman" w:cs="Times New Roman"/>
                <w:vertAlign w:val="superscript"/>
              </w:rPr>
              <w:t>2</w:t>
            </w:r>
          </w:p>
        </w:tc>
        <w:tc>
          <w:tcPr>
            <w:tcW w:w="858" w:type="pct"/>
            <w:tcBorders>
              <w:top w:val="nil"/>
              <w:left w:val="nil"/>
              <w:bottom w:val="nil"/>
              <w:right w:val="nil"/>
            </w:tcBorders>
          </w:tcPr>
          <w:p w14:paraId="3904C7B2" w14:textId="77777777" w:rsidR="00667B1B" w:rsidRPr="00420412" w:rsidRDefault="00667B1B" w:rsidP="00667B1B">
            <w:pPr>
              <w:widowControl w:val="0"/>
              <w:autoSpaceDE w:val="0"/>
              <w:autoSpaceDN w:val="0"/>
              <w:adjustRightInd w:val="0"/>
              <w:spacing w:line="240" w:lineRule="auto"/>
              <w:jc w:val="center"/>
              <w:rPr>
                <w:rFonts w:ascii="Times New Roman" w:hAnsi="Times New Roman" w:cs="Times New Roman"/>
              </w:rPr>
            </w:pPr>
          </w:p>
        </w:tc>
        <w:tc>
          <w:tcPr>
            <w:tcW w:w="3082" w:type="pct"/>
            <w:gridSpan w:val="8"/>
            <w:tcBorders>
              <w:top w:val="nil"/>
              <w:left w:val="nil"/>
              <w:bottom w:val="nil"/>
              <w:right w:val="nil"/>
            </w:tcBorders>
          </w:tcPr>
          <w:p w14:paraId="076DD40E" w14:textId="77777777" w:rsidR="00667B1B" w:rsidRPr="00420412" w:rsidRDefault="00667B1B" w:rsidP="00667B1B">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0.60</w:t>
            </w:r>
          </w:p>
        </w:tc>
      </w:tr>
      <w:tr w:rsidR="00667B1B" w:rsidRPr="00420412" w14:paraId="28248853" w14:textId="77777777" w:rsidTr="00667B1B">
        <w:tblPrEx>
          <w:tblBorders>
            <w:bottom w:val="single" w:sz="6" w:space="0" w:color="auto"/>
          </w:tblBorders>
        </w:tblPrEx>
        <w:trPr>
          <w:trHeight w:val="227"/>
        </w:trPr>
        <w:tc>
          <w:tcPr>
            <w:tcW w:w="1060" w:type="pct"/>
            <w:tcBorders>
              <w:top w:val="nil"/>
              <w:left w:val="nil"/>
              <w:bottom w:val="single" w:sz="4" w:space="0" w:color="auto"/>
              <w:right w:val="nil"/>
            </w:tcBorders>
          </w:tcPr>
          <w:p w14:paraId="38535871" w14:textId="77777777" w:rsidR="00667B1B" w:rsidRPr="00420412" w:rsidRDefault="00667B1B" w:rsidP="00667B1B">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BIC full model</w:t>
            </w:r>
          </w:p>
        </w:tc>
        <w:tc>
          <w:tcPr>
            <w:tcW w:w="858" w:type="pct"/>
            <w:tcBorders>
              <w:top w:val="nil"/>
              <w:left w:val="nil"/>
              <w:bottom w:val="single" w:sz="4" w:space="0" w:color="auto"/>
              <w:right w:val="nil"/>
            </w:tcBorders>
          </w:tcPr>
          <w:p w14:paraId="7074C203" w14:textId="77777777" w:rsidR="00667B1B" w:rsidRPr="00420412" w:rsidRDefault="00667B1B" w:rsidP="00667B1B">
            <w:pPr>
              <w:widowControl w:val="0"/>
              <w:autoSpaceDE w:val="0"/>
              <w:autoSpaceDN w:val="0"/>
              <w:adjustRightInd w:val="0"/>
              <w:spacing w:line="240" w:lineRule="auto"/>
              <w:jc w:val="center"/>
              <w:rPr>
                <w:rFonts w:ascii="Times New Roman" w:hAnsi="Times New Roman" w:cs="Times New Roman"/>
              </w:rPr>
            </w:pPr>
          </w:p>
        </w:tc>
        <w:tc>
          <w:tcPr>
            <w:tcW w:w="3082" w:type="pct"/>
            <w:gridSpan w:val="8"/>
            <w:tcBorders>
              <w:top w:val="nil"/>
              <w:left w:val="nil"/>
              <w:bottom w:val="single" w:sz="4" w:space="0" w:color="auto"/>
              <w:right w:val="nil"/>
            </w:tcBorders>
          </w:tcPr>
          <w:p w14:paraId="4A43DA8F" w14:textId="77777777" w:rsidR="00667B1B" w:rsidRPr="00420412" w:rsidRDefault="00667B1B" w:rsidP="00667B1B">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26320.26</w:t>
            </w:r>
          </w:p>
        </w:tc>
      </w:tr>
    </w:tbl>
    <w:p w14:paraId="10CB09D3" w14:textId="77777777" w:rsidR="00D17CB8" w:rsidRDefault="00E904EC" w:rsidP="0059716A">
      <w:pPr>
        <w:spacing w:line="480" w:lineRule="auto"/>
        <w:rPr>
          <w:rFonts w:ascii="Times New Roman" w:hAnsi="Times New Roman" w:cs="Times New Roman"/>
        </w:rPr>
        <w:sectPr w:rsidR="00D17CB8" w:rsidSect="00D17CB8">
          <w:pgSz w:w="16838" w:h="11906" w:orient="landscape"/>
          <w:pgMar w:top="1440" w:right="1440" w:bottom="1440" w:left="1440" w:header="708" w:footer="708" w:gutter="0"/>
          <w:cols w:space="708"/>
          <w:docGrid w:linePitch="360"/>
        </w:sectPr>
      </w:pPr>
      <w:r w:rsidRPr="004E5BE2">
        <w:rPr>
          <w:rFonts w:ascii="Times New Roman" w:hAnsi="Times New Roman" w:cs="Times New Roman"/>
        </w:rPr>
        <w:t>Note: Figures rounded to two decimal places. Constant is omitted. SE: robust standard errors; CI: confidence interval; Ref.: reference category; BIC: Information Criterion.</w:t>
      </w:r>
      <w:r>
        <w:rPr>
          <w:rFonts w:ascii="Times New Roman" w:hAnsi="Times New Roman" w:cs="Times New Roman"/>
        </w:rPr>
        <w:t xml:space="preserve"> T</w:t>
      </w:r>
      <w:r w:rsidRPr="00BC0545">
        <w:rPr>
          <w:rFonts w:ascii="Times New Roman" w:hAnsi="Times New Roman" w:cs="Times New Roman"/>
        </w:rPr>
        <w:t xml:space="preserve">he </w:t>
      </w:r>
      <w:r>
        <w:rPr>
          <w:rFonts w:ascii="Times New Roman" w:hAnsi="Times New Roman" w:cs="Times New Roman"/>
        </w:rPr>
        <w:t>organisation type and area of operation variables are statistically significant overall.</w:t>
      </w:r>
      <w:r w:rsidRPr="004E5BE2">
        <w:rPr>
          <w:rFonts w:ascii="Times New Roman" w:hAnsi="Times New Roman" w:cs="Times New Roman"/>
        </w:rPr>
        <w:t xml:space="preserve"> *p &lt; .05. **p &lt; .01. ***p &lt; .001.</w:t>
      </w:r>
    </w:p>
    <w:p w14:paraId="6BFBCE0D" w14:textId="51F70D91" w:rsidR="00B73859" w:rsidRPr="0059716A" w:rsidRDefault="006604F3"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lastRenderedPageBreak/>
        <w:t>Conclusion</w:t>
      </w:r>
    </w:p>
    <w:p w14:paraId="26E1091E" w14:textId="542B8C45" w:rsidR="00A337E8" w:rsidRDefault="006604F3"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This paper summarises emerging work on leveraging large-scale regulatory data to answer important research questions in the field of nonprofit studies. The universe of open data is expanding rapidly, offering scholars the opportunity to study key issues in a comprehensive, granular and cross-national manner. However, these datasets have been underemployed in scholarship and research, one of the main reasons for which is the need for intermediate programming and data analysis skills in order to work</w:t>
      </w:r>
      <w:r w:rsidR="00927B89" w:rsidRPr="0059716A">
        <w:rPr>
          <w:rFonts w:ascii="Times New Roman" w:hAnsi="Times New Roman" w:cs="Times New Roman"/>
          <w:sz w:val="24"/>
          <w:szCs w:val="24"/>
        </w:rPr>
        <w:t xml:space="preserve"> productively</w:t>
      </w:r>
      <w:r w:rsidRPr="0059716A">
        <w:rPr>
          <w:rFonts w:ascii="Times New Roman" w:hAnsi="Times New Roman" w:cs="Times New Roman"/>
          <w:sz w:val="24"/>
          <w:szCs w:val="24"/>
        </w:rPr>
        <w:t xml:space="preserve"> with the data. </w:t>
      </w:r>
      <w:r w:rsidR="00927B89" w:rsidRPr="0059716A">
        <w:rPr>
          <w:rFonts w:ascii="Times New Roman" w:hAnsi="Times New Roman" w:cs="Times New Roman"/>
          <w:sz w:val="24"/>
          <w:szCs w:val="24"/>
        </w:rPr>
        <w:t xml:space="preserve">The impetus behind this research project, outwith the substantive validity of the topic and research questions, is to address some of these barriers by providing reproducible, well-documented </w:t>
      </w:r>
      <w:r w:rsidR="00600ECC">
        <w:rPr>
          <w:rFonts w:ascii="Times New Roman" w:hAnsi="Times New Roman" w:cs="Times New Roman"/>
          <w:sz w:val="24"/>
          <w:szCs w:val="24"/>
        </w:rPr>
        <w:t xml:space="preserve">and publicly available </w:t>
      </w:r>
      <w:r w:rsidR="00927B89" w:rsidRPr="0059716A">
        <w:rPr>
          <w:rFonts w:ascii="Times New Roman" w:hAnsi="Times New Roman" w:cs="Times New Roman"/>
          <w:sz w:val="24"/>
          <w:szCs w:val="24"/>
        </w:rPr>
        <w:t>syntax files that enable other researchers to generate their own datasets for analysis.</w:t>
      </w:r>
    </w:p>
    <w:p w14:paraId="25B12316" w14:textId="6E157409" w:rsidR="00F638E7" w:rsidRPr="0059716A" w:rsidRDefault="00F638E7" w:rsidP="0059716A">
      <w:pPr>
        <w:spacing w:line="480" w:lineRule="auto"/>
        <w:rPr>
          <w:rFonts w:ascii="Times New Roman" w:hAnsi="Times New Roman" w:cs="Times New Roman"/>
          <w:sz w:val="24"/>
          <w:szCs w:val="24"/>
        </w:rPr>
        <w:sectPr w:rsidR="00F638E7" w:rsidRPr="0059716A" w:rsidSect="00AC328C">
          <w:pgSz w:w="11906" w:h="16838"/>
          <w:pgMar w:top="1440" w:right="1440" w:bottom="1440" w:left="1440" w:header="708" w:footer="708" w:gutter="0"/>
          <w:cols w:space="708"/>
          <w:docGrid w:linePitch="360"/>
        </w:sectPr>
      </w:pPr>
      <w:r w:rsidRPr="0059716A">
        <w:rPr>
          <w:rFonts w:ascii="Times New Roman" w:hAnsi="Times New Roman" w:cs="Times New Roman"/>
          <w:sz w:val="24"/>
          <w:szCs w:val="24"/>
        </w:rPr>
        <w:t>By using detailed measures of charity dissolution recorded in large-scale regulatory datasets, this research project responds to the call for greater focus on mission accomplishment as an outcome in nonprofit scholarship (Helmig et al., 2014). Our work has the potential to provide much-needed granularity and clarity to the various ways charities cease their activities, in particular by identifying those organisations that dissolve as a result of accomplishing their mission. Identifying the patterns and explanatory factors associated with charity dissolution can underpin public understanding of the sector, inform the allocation of funds by donors and government, and guide the activities and interventions of regulators.</w:t>
      </w:r>
    </w:p>
    <w:p w14:paraId="416DF865" w14:textId="55933CF7" w:rsidR="00BF6019" w:rsidRDefault="00BF6019" w:rsidP="00946C61">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323A538D"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Baum, J. A. C., &amp; Singh, J. V. (1994). Organizational niches and the dynamics of organizational mortality. </w:t>
      </w:r>
      <w:r w:rsidRPr="00C2399D">
        <w:rPr>
          <w:rFonts w:ascii="Times New Roman" w:hAnsi="Times New Roman" w:cs="Times New Roman"/>
          <w:i/>
          <w:sz w:val="24"/>
          <w:szCs w:val="24"/>
        </w:rPr>
        <w:t>American Journal of Sociology, 100</w:t>
      </w:r>
      <w:r w:rsidRPr="00C2399D">
        <w:rPr>
          <w:rFonts w:ascii="Times New Roman" w:hAnsi="Times New Roman" w:cs="Times New Roman"/>
          <w:sz w:val="24"/>
          <w:szCs w:val="24"/>
        </w:rPr>
        <w:t>, 346-380.</w:t>
      </w:r>
    </w:p>
    <w:p w14:paraId="02A41E65"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Bielefeld, W. (1994). What affects nonprofit survival? </w:t>
      </w:r>
      <w:r w:rsidRPr="00C2399D">
        <w:rPr>
          <w:rFonts w:ascii="Times New Roman" w:hAnsi="Times New Roman" w:cs="Times New Roman"/>
          <w:i/>
          <w:sz w:val="24"/>
          <w:szCs w:val="24"/>
        </w:rPr>
        <w:t>Nonprofit Management and Leadership, 5</w:t>
      </w:r>
      <w:r w:rsidRPr="00C2399D">
        <w:rPr>
          <w:rFonts w:ascii="Times New Roman" w:hAnsi="Times New Roman" w:cs="Times New Roman"/>
          <w:sz w:val="24"/>
          <w:szCs w:val="24"/>
        </w:rPr>
        <w:t>, 19-36.</w:t>
      </w:r>
    </w:p>
    <w:p w14:paraId="6D2EB7D2"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Breen, O. (2009). Cross Border Issues in the Regulation of Charities: Experiences from the UK and Ireland. </w:t>
      </w:r>
      <w:r w:rsidRPr="00C2399D">
        <w:rPr>
          <w:rFonts w:ascii="Times New Roman" w:hAnsi="Times New Roman" w:cs="Times New Roman"/>
          <w:i/>
          <w:sz w:val="24"/>
          <w:szCs w:val="24"/>
        </w:rPr>
        <w:t>International Journal of Not-for-Profit Law, 11</w:t>
      </w:r>
      <w:r w:rsidRPr="00C2399D">
        <w:rPr>
          <w:rFonts w:ascii="Times New Roman" w:hAnsi="Times New Roman" w:cs="Times New Roman"/>
          <w:sz w:val="24"/>
          <w:szCs w:val="24"/>
        </w:rPr>
        <w:t>, 5-41.</w:t>
      </w:r>
    </w:p>
    <w:p w14:paraId="344ED6CC"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Cordery, C., &amp; Deguchi, M. (2018). Charity registration and reporting: a cross-jurisdictional and theoretical analysis of regulatory impact. </w:t>
      </w:r>
      <w:r w:rsidRPr="00C2399D">
        <w:rPr>
          <w:rFonts w:ascii="Times New Roman" w:hAnsi="Times New Roman" w:cs="Times New Roman"/>
          <w:i/>
          <w:sz w:val="24"/>
          <w:szCs w:val="24"/>
        </w:rPr>
        <w:t>Public Management Review, 20</w:t>
      </w:r>
      <w:r w:rsidRPr="00C2399D">
        <w:rPr>
          <w:rFonts w:ascii="Times New Roman" w:hAnsi="Times New Roman" w:cs="Times New Roman"/>
          <w:sz w:val="24"/>
          <w:szCs w:val="24"/>
        </w:rPr>
        <w:t>, 1332-1352.</w:t>
      </w:r>
    </w:p>
    <w:p w14:paraId="4F93230E"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Crawford, L., Morgan, G. G., Cordery, C., Breen, O., Sheikh, F., Suyanto, S., &amp; Yekini, L. (2014). </w:t>
      </w:r>
      <w:r w:rsidRPr="00C2399D">
        <w:rPr>
          <w:rFonts w:ascii="Times New Roman" w:hAnsi="Times New Roman" w:cs="Times New Roman"/>
          <w:i/>
          <w:sz w:val="24"/>
          <w:szCs w:val="24"/>
        </w:rPr>
        <w:t>International financial reporting for the not-for-profit sector</w:t>
      </w:r>
      <w:r w:rsidRPr="00C2399D">
        <w:rPr>
          <w:rFonts w:ascii="Times New Roman" w:hAnsi="Times New Roman" w:cs="Times New Roman"/>
          <w:sz w:val="24"/>
          <w:szCs w:val="24"/>
        </w:rPr>
        <w:t>. London: CCAB.</w:t>
      </w:r>
    </w:p>
    <w:p w14:paraId="5AB4ACD9"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Fernandez, J. J. (2008). Causes of dissolution among Spanish nonprofit associations. </w:t>
      </w:r>
      <w:r w:rsidRPr="00C2399D">
        <w:rPr>
          <w:rFonts w:ascii="Times New Roman" w:hAnsi="Times New Roman" w:cs="Times New Roman"/>
          <w:i/>
          <w:sz w:val="24"/>
          <w:szCs w:val="24"/>
        </w:rPr>
        <w:t>Nonprofit and Voluntary Sector Quarterly, 37</w:t>
      </w:r>
      <w:r w:rsidRPr="00C2399D">
        <w:rPr>
          <w:rFonts w:ascii="Times New Roman" w:hAnsi="Times New Roman" w:cs="Times New Roman"/>
          <w:sz w:val="24"/>
          <w:szCs w:val="24"/>
        </w:rPr>
        <w:t>, 113–137.</w:t>
      </w:r>
    </w:p>
    <w:p w14:paraId="6057D5B9"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Freeman, J., &amp; Hannan, M. T. (1983). Niche width and the dynamics of organizational populations. </w:t>
      </w:r>
      <w:r w:rsidRPr="00C2399D">
        <w:rPr>
          <w:rFonts w:ascii="Times New Roman" w:hAnsi="Times New Roman" w:cs="Times New Roman"/>
          <w:i/>
          <w:sz w:val="24"/>
          <w:szCs w:val="24"/>
        </w:rPr>
        <w:t>American Journal of Sociology, 88</w:t>
      </w:r>
      <w:r w:rsidRPr="00C2399D">
        <w:rPr>
          <w:rFonts w:ascii="Times New Roman" w:hAnsi="Times New Roman" w:cs="Times New Roman"/>
          <w:sz w:val="24"/>
          <w:szCs w:val="24"/>
        </w:rPr>
        <w:t>, 1116-1145.</w:t>
      </w:r>
    </w:p>
    <w:p w14:paraId="24AF12B2"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Froelich, K. A. (1999). Diversification of revenue strategies: Evolving resource dependence in nonprofit organizations. </w:t>
      </w:r>
      <w:r w:rsidRPr="00C2399D">
        <w:rPr>
          <w:rFonts w:ascii="Times New Roman" w:hAnsi="Times New Roman" w:cs="Times New Roman"/>
          <w:i/>
          <w:sz w:val="24"/>
          <w:szCs w:val="24"/>
        </w:rPr>
        <w:t>Nonprofit and Voluntary Sector Quarterly, 28</w:t>
      </w:r>
      <w:r w:rsidRPr="00C2399D">
        <w:rPr>
          <w:rFonts w:ascii="Times New Roman" w:hAnsi="Times New Roman" w:cs="Times New Roman"/>
          <w:sz w:val="24"/>
          <w:szCs w:val="24"/>
        </w:rPr>
        <w:t>, 246-268.</w:t>
      </w:r>
    </w:p>
    <w:p w14:paraId="6B6CED22"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Frumkin, P., &amp; Keating, E. K. (2011). Diversification reconsidered: The risks and rewards of revenue concentration. </w:t>
      </w:r>
      <w:r w:rsidRPr="00C2399D">
        <w:rPr>
          <w:rFonts w:ascii="Times New Roman" w:hAnsi="Times New Roman" w:cs="Times New Roman"/>
          <w:i/>
          <w:sz w:val="24"/>
          <w:szCs w:val="24"/>
        </w:rPr>
        <w:t>Journal of Social Entrepreneurship, 2</w:t>
      </w:r>
      <w:r w:rsidRPr="00C2399D">
        <w:rPr>
          <w:rFonts w:ascii="Times New Roman" w:hAnsi="Times New Roman" w:cs="Times New Roman"/>
          <w:sz w:val="24"/>
          <w:szCs w:val="24"/>
        </w:rPr>
        <w:t>, 151-164.</w:t>
      </w:r>
    </w:p>
    <w:p w14:paraId="4CD23394"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lastRenderedPageBreak/>
        <w:t xml:space="preserve">Hager, M. A., Galaskiewicz, J., Bielefeld, W., &amp; Pins, J. J. (1996). Tales from the grave: Organizations’ accounts of their own demise. </w:t>
      </w:r>
      <w:r w:rsidRPr="00C2399D">
        <w:rPr>
          <w:rFonts w:ascii="Times New Roman" w:hAnsi="Times New Roman" w:cs="Times New Roman"/>
          <w:i/>
          <w:sz w:val="24"/>
          <w:szCs w:val="24"/>
        </w:rPr>
        <w:t>American Behavioral Scientist, 39</w:t>
      </w:r>
      <w:r w:rsidRPr="00C2399D">
        <w:rPr>
          <w:rFonts w:ascii="Times New Roman" w:hAnsi="Times New Roman" w:cs="Times New Roman"/>
          <w:sz w:val="24"/>
          <w:szCs w:val="24"/>
        </w:rPr>
        <w:t>, 975-994.</w:t>
      </w:r>
    </w:p>
    <w:p w14:paraId="371182EB"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Hannan, M. T., &amp; Freeman, J. (1977). The population ecology of organizations. </w:t>
      </w:r>
      <w:r w:rsidRPr="00C2399D">
        <w:rPr>
          <w:rFonts w:ascii="Times New Roman" w:hAnsi="Times New Roman" w:cs="Times New Roman"/>
          <w:i/>
          <w:sz w:val="24"/>
          <w:szCs w:val="24"/>
        </w:rPr>
        <w:t>American Journal of Sociology, 82</w:t>
      </w:r>
      <w:r w:rsidRPr="00C2399D">
        <w:rPr>
          <w:rFonts w:ascii="Times New Roman" w:hAnsi="Times New Roman" w:cs="Times New Roman"/>
          <w:sz w:val="24"/>
          <w:szCs w:val="24"/>
        </w:rPr>
        <w:t>, 929-964.</w:t>
      </w:r>
    </w:p>
    <w:p w14:paraId="35D83628"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Hannan, M. T., &amp; Freeman, J. (1989). </w:t>
      </w:r>
      <w:r w:rsidRPr="00C2399D">
        <w:rPr>
          <w:rFonts w:ascii="Times New Roman" w:hAnsi="Times New Roman" w:cs="Times New Roman"/>
          <w:i/>
          <w:sz w:val="24"/>
          <w:szCs w:val="24"/>
        </w:rPr>
        <w:t>Organizational ecology</w:t>
      </w:r>
      <w:r w:rsidRPr="00C2399D">
        <w:rPr>
          <w:rFonts w:ascii="Times New Roman" w:hAnsi="Times New Roman" w:cs="Times New Roman"/>
          <w:sz w:val="24"/>
          <w:szCs w:val="24"/>
        </w:rPr>
        <w:t>. Cambridge: Harvard University Press.</w:t>
      </w:r>
    </w:p>
    <w:p w14:paraId="42A26CA1"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Helmig, B., Ingerfurth, S., &amp; Pinz, A. (2014). Success and Failure of Nonprofit Organizations: Theoretical Foundations, Empirical Evidence, and Future Research. </w:t>
      </w:r>
      <w:r w:rsidRPr="00C2399D">
        <w:rPr>
          <w:rFonts w:ascii="Times New Roman" w:hAnsi="Times New Roman" w:cs="Times New Roman"/>
          <w:i/>
          <w:sz w:val="24"/>
          <w:szCs w:val="24"/>
        </w:rPr>
        <w:t>Voluntas: International Journal of Voluntary and Nonprofit Organizations, 25</w:t>
      </w:r>
      <w:r w:rsidRPr="00C2399D">
        <w:rPr>
          <w:rFonts w:ascii="Times New Roman" w:hAnsi="Times New Roman" w:cs="Times New Roman"/>
          <w:sz w:val="24"/>
          <w:szCs w:val="24"/>
        </w:rPr>
        <w:t>, 1509-1538.</w:t>
      </w:r>
    </w:p>
    <w:p w14:paraId="6C2E3CFE"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Hung, C. K., &amp; Hager, M. A. (2019). The Impact of Revenue Diversification on Nonprofit Financial Health: A Meta-analysis. </w:t>
      </w:r>
      <w:r w:rsidRPr="00C2399D">
        <w:rPr>
          <w:rFonts w:ascii="Times New Roman" w:hAnsi="Times New Roman" w:cs="Times New Roman"/>
          <w:i/>
          <w:sz w:val="24"/>
          <w:szCs w:val="24"/>
        </w:rPr>
        <w:t>Nonprofit and Voluntary Sector Quarterly</w:t>
      </w:r>
      <w:r w:rsidRPr="00C2399D">
        <w:rPr>
          <w:rFonts w:ascii="Times New Roman" w:hAnsi="Times New Roman" w:cs="Times New Roman"/>
          <w:sz w:val="24"/>
          <w:szCs w:val="24"/>
        </w:rPr>
        <w:t>, https://doi.org/10.1177/0899764018807080.</w:t>
      </w:r>
    </w:p>
    <w:p w14:paraId="44E6DAAD"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Keating, E. K., &amp; Frumkin, P. (2003). Reengineering Nonprofit Financial Accountability: Toward a More Reliable Foundation for Regulation. </w:t>
      </w:r>
      <w:r w:rsidRPr="00C2399D">
        <w:rPr>
          <w:rFonts w:ascii="Times New Roman" w:hAnsi="Times New Roman" w:cs="Times New Roman"/>
          <w:i/>
          <w:sz w:val="24"/>
          <w:szCs w:val="24"/>
        </w:rPr>
        <w:t>Public Administration Review, 63</w:t>
      </w:r>
      <w:r w:rsidRPr="00C2399D">
        <w:rPr>
          <w:rFonts w:ascii="Times New Roman" w:hAnsi="Times New Roman" w:cs="Times New Roman"/>
          <w:sz w:val="24"/>
          <w:szCs w:val="24"/>
        </w:rPr>
        <w:t>, 3-15.</w:t>
      </w:r>
    </w:p>
    <w:p w14:paraId="6760092B"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Lecy, J. D., Schmitz, H. P., &amp; Swedlund, H. (2011). Non-governmental and not-for-profit organizational effectiveness: A modern synthesis. </w:t>
      </w:r>
      <w:r w:rsidRPr="00C2399D">
        <w:rPr>
          <w:rFonts w:ascii="Times New Roman" w:hAnsi="Times New Roman" w:cs="Times New Roman"/>
          <w:i/>
          <w:sz w:val="24"/>
          <w:szCs w:val="24"/>
        </w:rPr>
        <w:t>Voluntas: International Journal of Voluntary and Nonprofit Organizations, 23</w:t>
      </w:r>
      <w:r w:rsidRPr="00C2399D">
        <w:rPr>
          <w:rFonts w:ascii="Times New Roman" w:hAnsi="Times New Roman" w:cs="Times New Roman"/>
          <w:sz w:val="24"/>
          <w:szCs w:val="24"/>
        </w:rPr>
        <w:t>, 434-457.</w:t>
      </w:r>
    </w:p>
    <w:p w14:paraId="6A4CAD28"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Lu, J., Lin, W., &amp; Wang, Q. (2019). Does a more diversified revenue structure lead to greater financial capacity and less vulnerability in nonprofit organizations? A bibliometric </w:t>
      </w:r>
      <w:r w:rsidRPr="00C2399D">
        <w:rPr>
          <w:rFonts w:ascii="Times New Roman" w:hAnsi="Times New Roman" w:cs="Times New Roman"/>
          <w:sz w:val="24"/>
          <w:szCs w:val="24"/>
        </w:rPr>
        <w:lastRenderedPageBreak/>
        <w:t xml:space="preserve">and meta-analysis. </w:t>
      </w:r>
      <w:r w:rsidRPr="00C2399D">
        <w:rPr>
          <w:rFonts w:ascii="Times New Roman" w:hAnsi="Times New Roman" w:cs="Times New Roman"/>
          <w:i/>
          <w:sz w:val="24"/>
          <w:szCs w:val="24"/>
        </w:rPr>
        <w:t>Voluntas: International Journal of Voluntary and Nonprofit Organizations, 30</w:t>
      </w:r>
      <w:r w:rsidRPr="00C2399D">
        <w:rPr>
          <w:rFonts w:ascii="Times New Roman" w:hAnsi="Times New Roman" w:cs="Times New Roman"/>
          <w:sz w:val="24"/>
          <w:szCs w:val="24"/>
        </w:rPr>
        <w:t>, 593-609.</w:t>
      </w:r>
    </w:p>
    <w:p w14:paraId="1A9BBF03"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Lu, J., Shon, J., &amp; Zhang, P. (2019). Understanding the Dissolution of Nonprofit Organizations: A Financial Management Perspective. </w:t>
      </w:r>
      <w:r w:rsidRPr="00C2399D">
        <w:rPr>
          <w:rFonts w:ascii="Times New Roman" w:hAnsi="Times New Roman" w:cs="Times New Roman"/>
          <w:i/>
          <w:iCs/>
          <w:sz w:val="24"/>
          <w:szCs w:val="24"/>
        </w:rPr>
        <w:t xml:space="preserve">Nonprofit and Voluntary Sector Quarterly, </w:t>
      </w:r>
      <w:r w:rsidRPr="00C2399D">
        <w:rPr>
          <w:rFonts w:ascii="Times New Roman" w:hAnsi="Times New Roman" w:cs="Times New Roman"/>
          <w:iCs/>
          <w:sz w:val="24"/>
          <w:szCs w:val="24"/>
        </w:rPr>
        <w:t>https://doi.org/10.1177/0899764019872006.</w:t>
      </w:r>
    </w:p>
    <w:p w14:paraId="63FB83A5"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McConville, D., &amp; Cordery, C. (2018). Charity performance reporting, regulatory approaches and standard-setting. </w:t>
      </w:r>
      <w:r w:rsidRPr="00C2399D">
        <w:rPr>
          <w:rFonts w:ascii="Times New Roman" w:hAnsi="Times New Roman" w:cs="Times New Roman"/>
          <w:i/>
          <w:sz w:val="24"/>
          <w:szCs w:val="24"/>
        </w:rPr>
        <w:t>Journal of Accounting and Public Policy, 37</w:t>
      </w:r>
      <w:r w:rsidRPr="00C2399D">
        <w:rPr>
          <w:rFonts w:ascii="Times New Roman" w:hAnsi="Times New Roman" w:cs="Times New Roman"/>
          <w:sz w:val="24"/>
          <w:szCs w:val="24"/>
        </w:rPr>
        <w:t>, 300-314.</w:t>
      </w:r>
    </w:p>
    <w:p w14:paraId="42F63B91"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McDonnell, D., &amp; Rutherford, A. C. (2018). Promoting Charity Accountability: Understanding Disclosure of Serious Incidents. </w:t>
      </w:r>
      <w:hyperlink r:id="rId11" w:history="1">
        <w:r w:rsidRPr="00C2399D">
          <w:rPr>
            <w:rStyle w:val="Hyperlink"/>
            <w:rFonts w:ascii="Times New Roman" w:hAnsi="Times New Roman" w:cs="Times New Roman"/>
            <w:sz w:val="24"/>
            <w:szCs w:val="24"/>
          </w:rPr>
          <w:t>https://doi.org/10.1016/j.accfor.2018.05.003</w:t>
        </w:r>
      </w:hyperlink>
      <w:r w:rsidRPr="00C2399D">
        <w:rPr>
          <w:rFonts w:ascii="Times New Roman" w:hAnsi="Times New Roman" w:cs="Times New Roman"/>
          <w:sz w:val="24"/>
          <w:szCs w:val="24"/>
        </w:rPr>
        <w:t>.</w:t>
      </w:r>
    </w:p>
    <w:p w14:paraId="7B57EF5B"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Mellahi, K., &amp; Wilkinson, A. (2004). Organizational failure: A critique of recent research and a proposed integrative framework. </w:t>
      </w:r>
      <w:r w:rsidRPr="00C2399D">
        <w:rPr>
          <w:rFonts w:ascii="Times New Roman" w:hAnsi="Times New Roman" w:cs="Times New Roman"/>
          <w:i/>
          <w:sz w:val="24"/>
          <w:szCs w:val="24"/>
        </w:rPr>
        <w:t>International Journal of Management Reviews, 5/6</w:t>
      </w:r>
      <w:r w:rsidRPr="00C2399D">
        <w:rPr>
          <w:rFonts w:ascii="Times New Roman" w:hAnsi="Times New Roman" w:cs="Times New Roman"/>
          <w:sz w:val="24"/>
          <w:szCs w:val="24"/>
        </w:rPr>
        <w:t>, 21-41.</w:t>
      </w:r>
    </w:p>
    <w:p w14:paraId="77867369"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Pfeffer, J., &amp; Salancik, G. R. (2003). </w:t>
      </w:r>
      <w:r w:rsidRPr="00C2399D">
        <w:rPr>
          <w:rFonts w:ascii="Times New Roman" w:hAnsi="Times New Roman" w:cs="Times New Roman"/>
          <w:i/>
          <w:sz w:val="24"/>
          <w:szCs w:val="24"/>
        </w:rPr>
        <w:t xml:space="preserve">The external control of organizations: A resource dependence perspective </w:t>
      </w:r>
      <w:r w:rsidRPr="00C2399D">
        <w:rPr>
          <w:rFonts w:ascii="Times New Roman" w:hAnsi="Times New Roman" w:cs="Times New Roman"/>
          <w:sz w:val="24"/>
          <w:szCs w:val="24"/>
        </w:rPr>
        <w:t>(2nd ed.). New York: Harper &amp; Row.</w:t>
      </w:r>
    </w:p>
    <w:p w14:paraId="7C067EFF"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iCs/>
          <w:sz w:val="24"/>
          <w:szCs w:val="24"/>
        </w:rPr>
        <w:t xml:space="preserve">Saxton, G. D., Kuo, J., &amp; Ho, Y. (2012). The Determinants of Voluntary Financial Disclosure by Nonprofit Organizations. </w:t>
      </w:r>
      <w:r w:rsidRPr="00C2399D">
        <w:rPr>
          <w:rFonts w:ascii="Times New Roman" w:hAnsi="Times New Roman" w:cs="Times New Roman"/>
          <w:i/>
          <w:iCs/>
          <w:sz w:val="24"/>
          <w:szCs w:val="24"/>
        </w:rPr>
        <w:t>Nonprofit and Voluntary Sector Quarterly, 41</w:t>
      </w:r>
      <w:r w:rsidRPr="00C2399D">
        <w:rPr>
          <w:rFonts w:ascii="Times New Roman" w:hAnsi="Times New Roman" w:cs="Times New Roman"/>
          <w:iCs/>
          <w:sz w:val="24"/>
          <w:szCs w:val="24"/>
        </w:rPr>
        <w:t>, 1051-1071.</w:t>
      </w:r>
    </w:p>
    <w:p w14:paraId="20430695"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Stinchcombe, A. L. (1965). Social structure and organizations. In J. G. March (Ed.), </w:t>
      </w:r>
      <w:r w:rsidRPr="00C2399D">
        <w:rPr>
          <w:rFonts w:ascii="Times New Roman" w:hAnsi="Times New Roman" w:cs="Times New Roman"/>
          <w:i/>
          <w:sz w:val="24"/>
          <w:szCs w:val="24"/>
        </w:rPr>
        <w:t>Handbook of Organizations</w:t>
      </w:r>
      <w:r w:rsidRPr="00C2399D">
        <w:rPr>
          <w:rFonts w:ascii="Times New Roman" w:hAnsi="Times New Roman" w:cs="Times New Roman"/>
          <w:sz w:val="24"/>
          <w:szCs w:val="24"/>
        </w:rPr>
        <w:t xml:space="preserve"> (pp. 142-193). Chicago: Rand McNally.</w:t>
      </w:r>
    </w:p>
    <w:p w14:paraId="4660450A"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Teasdale, S., Kerlin, J., Young, D. &amp; Soh, J. (2013). Oil and water rarely mix: exploring the relative stability of nonprofit revenue mixes over time. </w:t>
      </w:r>
      <w:r w:rsidRPr="00C2399D">
        <w:rPr>
          <w:rFonts w:ascii="Times New Roman" w:hAnsi="Times New Roman" w:cs="Times New Roman"/>
          <w:i/>
          <w:sz w:val="24"/>
          <w:szCs w:val="24"/>
        </w:rPr>
        <w:t>Journal of Social Entrepreneurship, 4</w:t>
      </w:r>
      <w:r w:rsidRPr="00C2399D">
        <w:rPr>
          <w:rFonts w:ascii="Times New Roman" w:hAnsi="Times New Roman" w:cs="Times New Roman"/>
          <w:sz w:val="24"/>
          <w:szCs w:val="24"/>
        </w:rPr>
        <w:t>, 69–87.</w:t>
      </w:r>
    </w:p>
    <w:p w14:paraId="76457256" w14:textId="77777777" w:rsid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lastRenderedPageBreak/>
        <w:t xml:space="preserve">Wollebaek, D. (2009). Survival in local voluntary associations. </w:t>
      </w:r>
      <w:r w:rsidRPr="00C2399D">
        <w:rPr>
          <w:rFonts w:ascii="Times New Roman" w:hAnsi="Times New Roman" w:cs="Times New Roman"/>
          <w:i/>
          <w:sz w:val="24"/>
          <w:szCs w:val="24"/>
        </w:rPr>
        <w:t>Nonprofit Management and Leadership, 19</w:t>
      </w:r>
      <w:r w:rsidRPr="00C2399D">
        <w:rPr>
          <w:rFonts w:ascii="Times New Roman" w:hAnsi="Times New Roman" w:cs="Times New Roman"/>
          <w:sz w:val="24"/>
          <w:szCs w:val="24"/>
        </w:rPr>
        <w:t>, 267-284.</w:t>
      </w:r>
    </w:p>
    <w:p w14:paraId="09A29A6E" w14:textId="74C3F223" w:rsidR="00102B9F" w:rsidRPr="0059716A" w:rsidRDefault="00CE0397"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Appendices</w:t>
      </w:r>
    </w:p>
    <w:p w14:paraId="472DFD69" w14:textId="15A0EABC" w:rsidR="003762EB" w:rsidRPr="0059716A" w:rsidRDefault="003762EB"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Appendix A</w:t>
      </w:r>
    </w:p>
    <w:p w14:paraId="5665A8CB" w14:textId="12D98621" w:rsidR="003762EB" w:rsidRPr="0059716A" w:rsidRDefault="003762EB"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Charities Services maintains an Application Programming Interface (API) that allows programmatic access to the register of charities and a host of other data sets.</w:t>
      </w:r>
      <w:r w:rsidR="00FF2402">
        <w:t xml:space="preserve"> </w:t>
      </w:r>
      <w:r w:rsidR="00FF2402" w:rsidRPr="00FF2402">
        <w:rPr>
          <w:rFonts w:ascii="Times New Roman" w:hAnsi="Times New Roman" w:cs="Times New Roman"/>
          <w:sz w:val="24"/>
          <w:szCs w:val="24"/>
        </w:rPr>
        <w:t xml:space="preserve">An API is a form of online database that users can </w:t>
      </w:r>
      <w:r w:rsidR="00FF2402">
        <w:rPr>
          <w:rFonts w:ascii="Times New Roman" w:hAnsi="Times New Roman" w:cs="Times New Roman"/>
          <w:sz w:val="24"/>
          <w:szCs w:val="24"/>
        </w:rPr>
        <w:t>download</w:t>
      </w:r>
      <w:r w:rsidR="00FF2402" w:rsidRPr="00FF2402">
        <w:rPr>
          <w:rFonts w:ascii="Times New Roman" w:hAnsi="Times New Roman" w:cs="Times New Roman"/>
          <w:sz w:val="24"/>
          <w:szCs w:val="24"/>
        </w:rPr>
        <w:t xml:space="preserve"> data from using http requests</w:t>
      </w:r>
      <w:r w:rsidR="00FF2402">
        <w:rPr>
          <w:rFonts w:ascii="Times New Roman" w:hAnsi="Times New Roman" w:cs="Times New Roman"/>
          <w:sz w:val="24"/>
          <w:szCs w:val="24"/>
        </w:rPr>
        <w:t xml:space="preserve"> (similar to requesting a webpage using a url)</w:t>
      </w:r>
      <w:r w:rsidR="00FF2402" w:rsidRPr="00FF2402">
        <w:rPr>
          <w:rFonts w:ascii="Times New Roman" w:hAnsi="Times New Roman" w:cs="Times New Roman"/>
          <w:sz w:val="24"/>
          <w:szCs w:val="24"/>
        </w:rPr>
        <w:t>.</w:t>
      </w:r>
      <w:r w:rsidRPr="0059716A">
        <w:rPr>
          <w:rFonts w:ascii="Times New Roman" w:hAnsi="Times New Roman" w:cs="Times New Roman"/>
          <w:sz w:val="24"/>
          <w:szCs w:val="24"/>
        </w:rPr>
        <w:t xml:space="preserve"> The service is intended for use by software developers looking to create </w:t>
      </w:r>
      <w:r w:rsidR="00FF2402">
        <w:rPr>
          <w:rFonts w:ascii="Times New Roman" w:hAnsi="Times New Roman" w:cs="Times New Roman"/>
          <w:sz w:val="24"/>
          <w:szCs w:val="24"/>
        </w:rPr>
        <w:t>applications based on the Regulator’s</w:t>
      </w:r>
      <w:r w:rsidRPr="0059716A">
        <w:rPr>
          <w:rFonts w:ascii="Times New Roman" w:hAnsi="Times New Roman" w:cs="Times New Roman"/>
          <w:sz w:val="24"/>
          <w:szCs w:val="24"/>
        </w:rPr>
        <w:t xml:space="preserve"> data; however, we have found the basic and advanced </w:t>
      </w:r>
      <w:r w:rsidR="00FF2402">
        <w:rPr>
          <w:rFonts w:ascii="Times New Roman" w:hAnsi="Times New Roman" w:cs="Times New Roman"/>
          <w:sz w:val="24"/>
          <w:szCs w:val="24"/>
        </w:rPr>
        <w:t xml:space="preserve">online </w:t>
      </w:r>
      <w:r w:rsidRPr="0059716A">
        <w:rPr>
          <w:rFonts w:ascii="Times New Roman" w:hAnsi="Times New Roman" w:cs="Times New Roman"/>
          <w:sz w:val="24"/>
          <w:szCs w:val="24"/>
        </w:rPr>
        <w:t xml:space="preserve">search functions </w:t>
      </w:r>
      <w:r w:rsidR="00FF2402">
        <w:rPr>
          <w:rFonts w:ascii="Times New Roman" w:hAnsi="Times New Roman" w:cs="Times New Roman"/>
          <w:sz w:val="24"/>
          <w:szCs w:val="24"/>
        </w:rPr>
        <w:t>available</w:t>
      </w:r>
      <w:r w:rsidRPr="0059716A">
        <w:rPr>
          <w:rFonts w:ascii="Times New Roman" w:hAnsi="Times New Roman" w:cs="Times New Roman"/>
          <w:sz w:val="24"/>
          <w:szCs w:val="24"/>
        </w:rPr>
        <w:t xml:space="preserve"> through its website unreliable (e.g. search requests often time-out) and time consuming. The open data service is housed in a Microsoft stack that is accessed via the OData Protocol, and users can write code in multiple languages to interact with the Protocol (e.g. Python, PHP, Java). Charities Services OData end point can be reached at </w:t>
      </w:r>
      <w:hyperlink r:id="rId12" w:history="1">
        <w:r w:rsidRPr="0059716A">
          <w:rPr>
            <w:rStyle w:val="Hyperlink"/>
            <w:rFonts w:ascii="Times New Roman" w:hAnsi="Times New Roman" w:cs="Times New Roman"/>
            <w:sz w:val="24"/>
            <w:szCs w:val="24"/>
          </w:rPr>
          <w:t>http://www.odata.charities.govt.nz</w:t>
        </w:r>
      </w:hyperlink>
      <w:r w:rsidRPr="0059716A">
        <w:rPr>
          <w:rFonts w:ascii="Times New Roman" w:hAnsi="Times New Roman" w:cs="Times New Roman"/>
          <w:sz w:val="24"/>
          <w:szCs w:val="24"/>
        </w:rPr>
        <w:t xml:space="preserve"> and there is no authentication required in order to interact with this end point as it is read only (i.e. users cannot alter the data available via the end point). The Data Dictionary lists 13 datasets that can be accessed via the Open Data web service – see</w:t>
      </w:r>
      <w:r w:rsidR="00FF2402">
        <w:rPr>
          <w:rFonts w:ascii="Times New Roman" w:hAnsi="Times New Roman" w:cs="Times New Roman"/>
          <w:sz w:val="24"/>
          <w:szCs w:val="24"/>
        </w:rPr>
        <w:t xml:space="preserve"> the table below</w:t>
      </w:r>
      <w:r w:rsidRPr="0059716A">
        <w:rPr>
          <w:rFonts w:ascii="Times New Roman" w:hAnsi="Times New Roman" w:cs="Times New Roman"/>
          <w:sz w:val="24"/>
          <w:szCs w:val="24"/>
        </w:rPr>
        <w:t xml:space="preserve"> </w:t>
      </w:r>
      <w:r w:rsidR="00FF2402">
        <w:rPr>
          <w:rFonts w:ascii="Times New Roman" w:hAnsi="Times New Roman" w:cs="Times New Roman"/>
          <w:sz w:val="24"/>
          <w:szCs w:val="24"/>
        </w:rPr>
        <w:t>for a description of the</w:t>
      </w:r>
      <w:r w:rsidRPr="0059716A">
        <w:rPr>
          <w:rFonts w:ascii="Times New Roman" w:hAnsi="Times New Roman" w:cs="Times New Roman"/>
          <w:sz w:val="24"/>
          <w:szCs w:val="24"/>
        </w:rPr>
        <w:t xml:space="preserve"> contents of each dataset. The datasets can be retrieved in any of three formats: ATOM, JSON and CSV.</w:t>
      </w:r>
    </w:p>
    <w:p w14:paraId="5EB84920" w14:textId="629C7960" w:rsidR="003762EB" w:rsidRPr="0059716A" w:rsidRDefault="000620CB" w:rsidP="0059716A">
      <w:pPr>
        <w:spacing w:line="480" w:lineRule="auto"/>
        <w:rPr>
          <w:rFonts w:ascii="Times New Roman" w:hAnsi="Times New Roman" w:cs="Times New Roman"/>
          <w:sz w:val="24"/>
          <w:szCs w:val="24"/>
        </w:rPr>
      </w:pPr>
      <w:r>
        <w:rPr>
          <w:rFonts w:ascii="Times New Roman" w:hAnsi="Times New Roman" w:cs="Times New Roman"/>
          <w:b/>
          <w:sz w:val="24"/>
          <w:szCs w:val="24"/>
        </w:rPr>
        <w:t>Table A#</w:t>
      </w:r>
      <w:r w:rsidR="003762EB" w:rsidRPr="0059716A">
        <w:rPr>
          <w:rFonts w:ascii="Times New Roman" w:hAnsi="Times New Roman" w:cs="Times New Roman"/>
          <w:b/>
          <w:sz w:val="24"/>
          <w:szCs w:val="24"/>
        </w:rPr>
        <w:t>.</w:t>
      </w:r>
      <w:r w:rsidR="003762EB" w:rsidRPr="0059716A">
        <w:rPr>
          <w:rFonts w:ascii="Times New Roman" w:hAnsi="Times New Roman" w:cs="Times New Roman"/>
          <w:sz w:val="24"/>
          <w:szCs w:val="24"/>
        </w:rPr>
        <w:t xml:space="preserve"> Charities Services Open Data</w:t>
      </w:r>
    </w:p>
    <w:tbl>
      <w:tblPr>
        <w:tblW w:w="5000" w:type="pct"/>
        <w:tblCellMar>
          <w:left w:w="75" w:type="dxa"/>
          <w:right w:w="75" w:type="dxa"/>
        </w:tblCellMar>
        <w:tblLook w:val="0000" w:firstRow="0" w:lastRow="0" w:firstColumn="0" w:lastColumn="0" w:noHBand="0" w:noVBand="0"/>
      </w:tblPr>
      <w:tblGrid>
        <w:gridCol w:w="2296"/>
        <w:gridCol w:w="1123"/>
        <w:gridCol w:w="5607"/>
      </w:tblGrid>
      <w:tr w:rsidR="003762EB" w:rsidRPr="0059716A" w14:paraId="15571DF5" w14:textId="77777777" w:rsidTr="00A85E55">
        <w:trPr>
          <w:trHeight w:val="318"/>
        </w:trPr>
        <w:tc>
          <w:tcPr>
            <w:tcW w:w="917" w:type="pct"/>
            <w:tcBorders>
              <w:top w:val="single" w:sz="4" w:space="0" w:color="auto"/>
              <w:left w:val="nil"/>
              <w:bottom w:val="single" w:sz="6" w:space="0" w:color="auto"/>
              <w:right w:val="nil"/>
            </w:tcBorders>
          </w:tcPr>
          <w:p w14:paraId="5EDA2CA3"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File</w:t>
            </w:r>
          </w:p>
        </w:tc>
        <w:tc>
          <w:tcPr>
            <w:tcW w:w="654" w:type="pct"/>
            <w:tcBorders>
              <w:top w:val="single" w:sz="4" w:space="0" w:color="auto"/>
              <w:left w:val="nil"/>
              <w:bottom w:val="single" w:sz="6" w:space="0" w:color="auto"/>
              <w:right w:val="nil"/>
            </w:tcBorders>
          </w:tcPr>
          <w:p w14:paraId="72EF452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Type</w:t>
            </w:r>
          </w:p>
        </w:tc>
        <w:tc>
          <w:tcPr>
            <w:tcW w:w="3429" w:type="pct"/>
            <w:tcBorders>
              <w:top w:val="single" w:sz="4" w:space="0" w:color="auto"/>
              <w:left w:val="nil"/>
              <w:bottom w:val="single" w:sz="6" w:space="0" w:color="auto"/>
              <w:right w:val="nil"/>
            </w:tcBorders>
          </w:tcPr>
          <w:p w14:paraId="603CBE23"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Description</w:t>
            </w:r>
          </w:p>
        </w:tc>
      </w:tr>
      <w:tr w:rsidR="003762EB" w:rsidRPr="0059716A" w14:paraId="4D78A7AD" w14:textId="77777777" w:rsidTr="00A85E55">
        <w:trPr>
          <w:trHeight w:val="325"/>
        </w:trPr>
        <w:tc>
          <w:tcPr>
            <w:tcW w:w="917" w:type="pct"/>
            <w:tcBorders>
              <w:top w:val="single" w:sz="6" w:space="0" w:color="auto"/>
              <w:left w:val="nil"/>
              <w:right w:val="nil"/>
            </w:tcBorders>
          </w:tcPr>
          <w:p w14:paraId="4A25004B"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Activities</w:t>
            </w:r>
          </w:p>
        </w:tc>
        <w:tc>
          <w:tcPr>
            <w:tcW w:w="654" w:type="pct"/>
            <w:tcBorders>
              <w:top w:val="single" w:sz="6" w:space="0" w:color="auto"/>
              <w:left w:val="nil"/>
              <w:right w:val="nil"/>
            </w:tcBorders>
          </w:tcPr>
          <w:p w14:paraId="0889113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top w:val="single" w:sz="6" w:space="0" w:color="auto"/>
              <w:left w:val="nil"/>
              <w:right w:val="nil"/>
            </w:tcBorders>
          </w:tcPr>
          <w:p w14:paraId="0D6742C1" w14:textId="491EE316"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the activities a charity undertakes.</w:t>
            </w:r>
          </w:p>
        </w:tc>
      </w:tr>
      <w:tr w:rsidR="003762EB" w:rsidRPr="0059716A" w14:paraId="6A139D58" w14:textId="77777777" w:rsidTr="00A85E55">
        <w:trPr>
          <w:trHeight w:val="318"/>
        </w:trPr>
        <w:tc>
          <w:tcPr>
            <w:tcW w:w="917" w:type="pct"/>
            <w:tcBorders>
              <w:left w:val="nil"/>
              <w:right w:val="nil"/>
            </w:tcBorders>
          </w:tcPr>
          <w:p w14:paraId="28C56F37"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AnnualReturns</w:t>
            </w:r>
          </w:p>
        </w:tc>
        <w:tc>
          <w:tcPr>
            <w:tcW w:w="654" w:type="pct"/>
            <w:tcBorders>
              <w:left w:val="nil"/>
              <w:right w:val="nil"/>
            </w:tcBorders>
          </w:tcPr>
          <w:p w14:paraId="394862E1"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290619AC"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 xml:space="preserve">Contains one record for every annual return filed by a </w:t>
            </w:r>
            <w:r w:rsidRPr="0059716A">
              <w:rPr>
                <w:rFonts w:ascii="Times New Roman" w:hAnsi="Times New Roman" w:cs="Times New Roman"/>
                <w:sz w:val="24"/>
                <w:szCs w:val="24"/>
              </w:rPr>
              <w:lastRenderedPageBreak/>
              <w:t>charity.</w:t>
            </w:r>
          </w:p>
        </w:tc>
      </w:tr>
      <w:tr w:rsidR="003762EB" w:rsidRPr="0059716A" w14:paraId="7B328661" w14:textId="77777777" w:rsidTr="00A85E55">
        <w:trPr>
          <w:trHeight w:val="318"/>
        </w:trPr>
        <w:tc>
          <w:tcPr>
            <w:tcW w:w="917" w:type="pct"/>
            <w:tcBorders>
              <w:left w:val="nil"/>
              <w:right w:val="nil"/>
            </w:tcBorders>
          </w:tcPr>
          <w:p w14:paraId="0D882C3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lastRenderedPageBreak/>
              <w:t>AreaOfOperations</w:t>
            </w:r>
          </w:p>
        </w:tc>
        <w:tc>
          <w:tcPr>
            <w:tcW w:w="654" w:type="pct"/>
            <w:tcBorders>
              <w:left w:val="nil"/>
              <w:right w:val="nil"/>
            </w:tcBorders>
          </w:tcPr>
          <w:p w14:paraId="3C14D50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063D5D57"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reference for codes used to identify the geographical areas a charity operates in.</w:t>
            </w:r>
          </w:p>
        </w:tc>
      </w:tr>
      <w:tr w:rsidR="003762EB" w:rsidRPr="0059716A" w14:paraId="44B66A1A" w14:textId="77777777" w:rsidTr="00A85E55">
        <w:trPr>
          <w:trHeight w:val="318"/>
        </w:trPr>
        <w:tc>
          <w:tcPr>
            <w:tcW w:w="917" w:type="pct"/>
            <w:tcBorders>
              <w:left w:val="nil"/>
              <w:right w:val="nil"/>
            </w:tcBorders>
          </w:tcPr>
          <w:p w14:paraId="5C5A24C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Beneficiaries</w:t>
            </w:r>
          </w:p>
        </w:tc>
        <w:tc>
          <w:tcPr>
            <w:tcW w:w="654" w:type="pct"/>
            <w:tcBorders>
              <w:left w:val="nil"/>
              <w:right w:val="nil"/>
            </w:tcBorders>
          </w:tcPr>
          <w:p w14:paraId="0941FC14"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43704290" w14:textId="020B553E"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a charity’s beneficiaries.</w:t>
            </w:r>
          </w:p>
        </w:tc>
      </w:tr>
      <w:tr w:rsidR="003762EB" w:rsidRPr="0059716A" w14:paraId="09DCE723" w14:textId="77777777" w:rsidTr="00A85E55">
        <w:trPr>
          <w:trHeight w:val="318"/>
        </w:trPr>
        <w:tc>
          <w:tcPr>
            <w:tcW w:w="917" w:type="pct"/>
            <w:tcBorders>
              <w:left w:val="nil"/>
              <w:right w:val="nil"/>
            </w:tcBorders>
          </w:tcPr>
          <w:p w14:paraId="25112E7B"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Groups</w:t>
            </w:r>
          </w:p>
        </w:tc>
        <w:tc>
          <w:tcPr>
            <w:tcW w:w="654" w:type="pct"/>
            <w:tcBorders>
              <w:left w:val="nil"/>
              <w:right w:val="nil"/>
            </w:tcBorders>
          </w:tcPr>
          <w:p w14:paraId="1F30DFA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3100E1A3"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charity allowed to file group annual returns.</w:t>
            </w:r>
          </w:p>
        </w:tc>
      </w:tr>
      <w:tr w:rsidR="003762EB" w:rsidRPr="0059716A" w14:paraId="74A46390" w14:textId="77777777" w:rsidTr="00A85E55">
        <w:trPr>
          <w:trHeight w:val="318"/>
        </w:trPr>
        <w:tc>
          <w:tcPr>
            <w:tcW w:w="917" w:type="pct"/>
            <w:tcBorders>
              <w:left w:val="nil"/>
              <w:right w:val="nil"/>
            </w:tcBorders>
          </w:tcPr>
          <w:p w14:paraId="7A9BD0AD"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GrpOrgAllReturns</w:t>
            </w:r>
          </w:p>
        </w:tc>
        <w:tc>
          <w:tcPr>
            <w:tcW w:w="654" w:type="pct"/>
            <w:tcBorders>
              <w:left w:val="nil"/>
              <w:right w:val="nil"/>
            </w:tcBorders>
          </w:tcPr>
          <w:p w14:paraId="46A16812"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392251AE"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annual return filed by a charity.</w:t>
            </w:r>
          </w:p>
        </w:tc>
      </w:tr>
      <w:tr w:rsidR="003762EB" w:rsidRPr="0059716A" w14:paraId="32EE5011" w14:textId="77777777" w:rsidTr="00A85E55">
        <w:trPr>
          <w:trHeight w:val="318"/>
        </w:trPr>
        <w:tc>
          <w:tcPr>
            <w:tcW w:w="917" w:type="pct"/>
            <w:tcBorders>
              <w:left w:val="nil"/>
              <w:right w:val="nil"/>
            </w:tcBorders>
          </w:tcPr>
          <w:p w14:paraId="618C85F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GrpOrgLatestReturns</w:t>
            </w:r>
          </w:p>
        </w:tc>
        <w:tc>
          <w:tcPr>
            <w:tcW w:w="654" w:type="pct"/>
            <w:tcBorders>
              <w:left w:val="nil"/>
              <w:right w:val="nil"/>
            </w:tcBorders>
          </w:tcPr>
          <w:p w14:paraId="66FC6245"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7B52CF79"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the most recent annual return filed by a charity.</w:t>
            </w:r>
          </w:p>
        </w:tc>
      </w:tr>
      <w:tr w:rsidR="003762EB" w:rsidRPr="0059716A" w14:paraId="6B642F05" w14:textId="77777777" w:rsidTr="00A85E55">
        <w:trPr>
          <w:trHeight w:val="318"/>
        </w:trPr>
        <w:tc>
          <w:tcPr>
            <w:tcW w:w="917" w:type="pct"/>
            <w:tcBorders>
              <w:left w:val="nil"/>
              <w:right w:val="nil"/>
            </w:tcBorders>
          </w:tcPr>
          <w:p w14:paraId="7B82606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Officers</w:t>
            </w:r>
          </w:p>
        </w:tc>
        <w:tc>
          <w:tcPr>
            <w:tcW w:w="654" w:type="pct"/>
            <w:tcBorders>
              <w:left w:val="nil"/>
              <w:right w:val="nil"/>
            </w:tcBorders>
          </w:tcPr>
          <w:p w14:paraId="53BA6E5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322909A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person that has been a trustee of a charity.</w:t>
            </w:r>
          </w:p>
        </w:tc>
      </w:tr>
      <w:tr w:rsidR="003762EB" w:rsidRPr="0059716A" w14:paraId="71825D74" w14:textId="77777777" w:rsidTr="00A85E55">
        <w:trPr>
          <w:trHeight w:val="318"/>
        </w:trPr>
        <w:tc>
          <w:tcPr>
            <w:tcW w:w="917" w:type="pct"/>
            <w:tcBorders>
              <w:left w:val="nil"/>
              <w:right w:val="nil"/>
            </w:tcBorders>
          </w:tcPr>
          <w:p w14:paraId="7D6CCD7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Organisations</w:t>
            </w:r>
          </w:p>
        </w:tc>
        <w:tc>
          <w:tcPr>
            <w:tcW w:w="654" w:type="pct"/>
            <w:tcBorders>
              <w:left w:val="nil"/>
              <w:right w:val="nil"/>
            </w:tcBorders>
          </w:tcPr>
          <w:p w14:paraId="52138222"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517430D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charity, registered and deregistered.</w:t>
            </w:r>
          </w:p>
        </w:tc>
      </w:tr>
      <w:tr w:rsidR="003762EB" w:rsidRPr="0059716A" w14:paraId="07B57876" w14:textId="77777777" w:rsidTr="00A85E55">
        <w:trPr>
          <w:trHeight w:val="318"/>
        </w:trPr>
        <w:tc>
          <w:tcPr>
            <w:tcW w:w="917" w:type="pct"/>
            <w:tcBorders>
              <w:left w:val="nil"/>
              <w:right w:val="nil"/>
            </w:tcBorders>
          </w:tcPr>
          <w:p w14:paraId="31481192"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Sectors</w:t>
            </w:r>
          </w:p>
        </w:tc>
        <w:tc>
          <w:tcPr>
            <w:tcW w:w="654" w:type="pct"/>
            <w:tcBorders>
              <w:left w:val="nil"/>
              <w:right w:val="nil"/>
            </w:tcBorders>
          </w:tcPr>
          <w:p w14:paraId="34D6CD34"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2F8B2274" w14:textId="71C59C78"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the sector in which a charity operates.</w:t>
            </w:r>
          </w:p>
        </w:tc>
      </w:tr>
      <w:tr w:rsidR="003762EB" w:rsidRPr="0059716A" w14:paraId="0C40463C" w14:textId="77777777" w:rsidTr="00A85E55">
        <w:trPr>
          <w:trHeight w:val="318"/>
        </w:trPr>
        <w:tc>
          <w:tcPr>
            <w:tcW w:w="917" w:type="pct"/>
            <w:tcBorders>
              <w:left w:val="nil"/>
              <w:right w:val="nil"/>
            </w:tcBorders>
          </w:tcPr>
          <w:p w14:paraId="57DB02C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SourceOfFunds</w:t>
            </w:r>
          </w:p>
        </w:tc>
        <w:tc>
          <w:tcPr>
            <w:tcW w:w="654" w:type="pct"/>
            <w:tcBorders>
              <w:left w:val="nil"/>
              <w:right w:val="nil"/>
            </w:tcBorders>
          </w:tcPr>
          <w:p w14:paraId="0807A50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2852D19D" w14:textId="3054947A"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a charity’s source(s) of funds.</w:t>
            </w:r>
          </w:p>
        </w:tc>
      </w:tr>
      <w:tr w:rsidR="003762EB" w:rsidRPr="0059716A" w14:paraId="08133317" w14:textId="77777777" w:rsidTr="00A85E55">
        <w:trPr>
          <w:trHeight w:val="318"/>
        </w:trPr>
        <w:tc>
          <w:tcPr>
            <w:tcW w:w="917" w:type="pct"/>
            <w:tcBorders>
              <w:left w:val="nil"/>
              <w:right w:val="nil"/>
            </w:tcBorders>
          </w:tcPr>
          <w:p w14:paraId="18D3293E"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vOfficerOrganisations</w:t>
            </w:r>
          </w:p>
        </w:tc>
        <w:tc>
          <w:tcPr>
            <w:tcW w:w="654" w:type="pct"/>
            <w:tcBorders>
              <w:left w:val="nil"/>
              <w:right w:val="nil"/>
            </w:tcBorders>
          </w:tcPr>
          <w:p w14:paraId="77E1E0E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2F7DCC4B"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person that has been a trustee of a charity, linked to that charity’s organisational information.</w:t>
            </w:r>
          </w:p>
        </w:tc>
      </w:tr>
      <w:tr w:rsidR="003762EB" w:rsidRPr="0059716A" w14:paraId="6F4EDDA8" w14:textId="77777777" w:rsidTr="00A85E55">
        <w:trPr>
          <w:trHeight w:val="318"/>
        </w:trPr>
        <w:tc>
          <w:tcPr>
            <w:tcW w:w="917" w:type="pct"/>
            <w:tcBorders>
              <w:left w:val="nil"/>
              <w:bottom w:val="single" w:sz="4" w:space="0" w:color="auto"/>
              <w:right w:val="nil"/>
            </w:tcBorders>
          </w:tcPr>
          <w:p w14:paraId="639BA4AA"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vOrganisations</w:t>
            </w:r>
          </w:p>
        </w:tc>
        <w:tc>
          <w:tcPr>
            <w:tcW w:w="654" w:type="pct"/>
            <w:tcBorders>
              <w:left w:val="nil"/>
              <w:bottom w:val="single" w:sz="4" w:space="0" w:color="auto"/>
              <w:right w:val="nil"/>
            </w:tcBorders>
          </w:tcPr>
          <w:p w14:paraId="6508E725"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bottom w:val="single" w:sz="4" w:space="0" w:color="auto"/>
              <w:right w:val="nil"/>
            </w:tcBorders>
          </w:tcPr>
          <w:p w14:paraId="21986B0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charity, linked to the information contained in the Activities, Beneficiaries and Sectors reference lists.</w:t>
            </w:r>
          </w:p>
        </w:tc>
      </w:tr>
    </w:tbl>
    <w:p w14:paraId="098F4313" w14:textId="6733C66B" w:rsidR="000620CB" w:rsidRDefault="003762EB" w:rsidP="0059716A">
      <w:pPr>
        <w:spacing w:line="480" w:lineRule="auto"/>
        <w:rPr>
          <w:rStyle w:val="Hyperlink"/>
          <w:rFonts w:ascii="Times New Roman" w:hAnsi="Times New Roman" w:cs="Times New Roman"/>
          <w:sz w:val="24"/>
          <w:szCs w:val="24"/>
        </w:rPr>
      </w:pPr>
      <w:r w:rsidRPr="0059716A">
        <w:rPr>
          <w:rFonts w:ascii="Times New Roman" w:hAnsi="Times New Roman" w:cs="Times New Roman"/>
          <w:sz w:val="24"/>
          <w:szCs w:val="24"/>
        </w:rPr>
        <w:lastRenderedPageBreak/>
        <w:t xml:space="preserve">Note: Charities Services does not provide a description of what each file contains, therefore the content of the </w:t>
      </w:r>
      <w:r w:rsidRPr="0059716A">
        <w:rPr>
          <w:rFonts w:ascii="Times New Roman" w:hAnsi="Times New Roman" w:cs="Times New Roman"/>
          <w:i/>
          <w:sz w:val="24"/>
          <w:szCs w:val="24"/>
        </w:rPr>
        <w:t xml:space="preserve">Description </w:t>
      </w:r>
      <w:r w:rsidRPr="0059716A">
        <w:rPr>
          <w:rFonts w:ascii="Times New Roman" w:hAnsi="Times New Roman" w:cs="Times New Roman"/>
          <w:sz w:val="24"/>
          <w:szCs w:val="24"/>
        </w:rPr>
        <w:t>field is our own judgement. As a result we are still unsure how to accurately define the contents of some of the files; we plan on contacting the regulator to get further information.</w:t>
      </w:r>
      <w:r w:rsidRPr="0059716A">
        <w:rPr>
          <w:rFonts w:ascii="Times New Roman" w:hAnsi="Times New Roman" w:cs="Times New Roman"/>
          <w:sz w:val="24"/>
          <w:szCs w:val="24"/>
        </w:rPr>
        <w:br/>
        <w:t xml:space="preserve">Source: </w:t>
      </w:r>
      <w:hyperlink r:id="rId13" w:history="1">
        <w:r w:rsidRPr="0059716A">
          <w:rPr>
            <w:rStyle w:val="Hyperlink"/>
            <w:rFonts w:ascii="Times New Roman" w:hAnsi="Times New Roman" w:cs="Times New Roman"/>
            <w:sz w:val="24"/>
            <w:szCs w:val="24"/>
          </w:rPr>
          <w:t>https://www.charities.govt.nz/assets/Resouces/data-dictionary.csv</w:t>
        </w:r>
      </w:hyperlink>
      <w:r w:rsidR="006E0FEF">
        <w:rPr>
          <w:rStyle w:val="Hyperlink"/>
          <w:rFonts w:ascii="Times New Roman" w:hAnsi="Times New Roman" w:cs="Times New Roman"/>
          <w:sz w:val="24"/>
          <w:szCs w:val="24"/>
        </w:rPr>
        <w:t>//</w:t>
      </w:r>
    </w:p>
    <w:sectPr w:rsidR="000620CB" w:rsidSect="003762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7B0890" w14:textId="77777777" w:rsidR="00C11DCA" w:rsidRDefault="00C11DCA" w:rsidP="00AC328C">
      <w:pPr>
        <w:spacing w:after="0" w:line="240" w:lineRule="auto"/>
      </w:pPr>
      <w:r>
        <w:separator/>
      </w:r>
    </w:p>
  </w:endnote>
  <w:endnote w:type="continuationSeparator" w:id="0">
    <w:p w14:paraId="02077E33" w14:textId="77777777" w:rsidR="00C11DCA" w:rsidRDefault="00C11DCA" w:rsidP="00AC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041423396"/>
      <w:docPartObj>
        <w:docPartGallery w:val="Page Numbers (Bottom of Page)"/>
        <w:docPartUnique/>
      </w:docPartObj>
    </w:sdtPr>
    <w:sdtEndPr>
      <w:rPr>
        <w:noProof/>
      </w:rPr>
    </w:sdtEndPr>
    <w:sdtContent>
      <w:p w14:paraId="409CFB38" w14:textId="3C223959" w:rsidR="0094074E" w:rsidRPr="00F01EEF" w:rsidRDefault="0094074E" w:rsidP="00F01EEF">
        <w:pPr>
          <w:pStyle w:val="Footer"/>
          <w:spacing w:line="360" w:lineRule="auto"/>
          <w:jc w:val="right"/>
          <w:rPr>
            <w:rFonts w:ascii="Times New Roman" w:hAnsi="Times New Roman" w:cs="Times New Roman"/>
          </w:rPr>
        </w:pPr>
        <w:r w:rsidRPr="00F01EEF">
          <w:rPr>
            <w:rFonts w:ascii="Times New Roman" w:hAnsi="Times New Roman" w:cs="Times New Roman"/>
          </w:rPr>
          <w:fldChar w:fldCharType="begin"/>
        </w:r>
        <w:r w:rsidRPr="00F01EEF">
          <w:rPr>
            <w:rFonts w:ascii="Times New Roman" w:hAnsi="Times New Roman" w:cs="Times New Roman"/>
          </w:rPr>
          <w:instrText xml:space="preserve"> PAGE   \* MERGEFORMAT </w:instrText>
        </w:r>
        <w:r w:rsidRPr="00F01EEF">
          <w:rPr>
            <w:rFonts w:ascii="Times New Roman" w:hAnsi="Times New Roman" w:cs="Times New Roman"/>
          </w:rPr>
          <w:fldChar w:fldCharType="separate"/>
        </w:r>
        <w:r w:rsidR="00946C61">
          <w:rPr>
            <w:rFonts w:ascii="Times New Roman" w:hAnsi="Times New Roman" w:cs="Times New Roman"/>
            <w:noProof/>
          </w:rPr>
          <w:t>23</w:t>
        </w:r>
        <w:r w:rsidRPr="00F01EEF">
          <w:rPr>
            <w:rFonts w:ascii="Times New Roman" w:hAnsi="Times New Roman" w:cs="Times New Roman"/>
            <w:noProof/>
          </w:rPr>
          <w:fldChar w:fldCharType="end"/>
        </w:r>
      </w:p>
    </w:sdtContent>
  </w:sdt>
  <w:p w14:paraId="615E7A4B" w14:textId="77777777" w:rsidR="0094074E" w:rsidRPr="00F01EEF" w:rsidRDefault="0094074E" w:rsidP="00F01EEF">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FC78B" w14:textId="77777777" w:rsidR="00C11DCA" w:rsidRDefault="00C11DCA" w:rsidP="00AC328C">
      <w:pPr>
        <w:spacing w:after="0" w:line="240" w:lineRule="auto"/>
      </w:pPr>
      <w:r>
        <w:separator/>
      </w:r>
    </w:p>
  </w:footnote>
  <w:footnote w:type="continuationSeparator" w:id="0">
    <w:p w14:paraId="39B1BE08" w14:textId="77777777" w:rsidR="00C11DCA" w:rsidRDefault="00C11DCA" w:rsidP="00AC328C">
      <w:pPr>
        <w:spacing w:after="0" w:line="240" w:lineRule="auto"/>
      </w:pPr>
      <w:r>
        <w:continuationSeparator/>
      </w:r>
    </w:p>
  </w:footnote>
  <w:footnote w:id="1">
    <w:p w14:paraId="08CB8956" w14:textId="18F8ADD7" w:rsidR="0094074E" w:rsidRDefault="0094074E">
      <w:pPr>
        <w:pStyle w:val="FootnoteText"/>
      </w:pPr>
      <w:r>
        <w:rPr>
          <w:rStyle w:val="FootnoteReference"/>
        </w:rPr>
        <w:footnoteRef/>
      </w:r>
      <w:r>
        <w:t xml:space="preserve"> [Note about New Institutionalism and how we are unable to apply it to this study.]</w:t>
      </w:r>
    </w:p>
  </w:footnote>
  <w:footnote w:id="2">
    <w:p w14:paraId="63235888" w14:textId="2BDB3491" w:rsidR="0094074E" w:rsidRDefault="0094074E">
      <w:pPr>
        <w:pStyle w:val="FootnoteText"/>
      </w:pPr>
      <w:r>
        <w:rPr>
          <w:rStyle w:val="FootnoteReference"/>
        </w:rPr>
        <w:footnoteRef/>
      </w:r>
      <w:r>
        <w:t xml:space="preserve"> [Add references]</w:t>
      </w:r>
    </w:p>
  </w:footnote>
  <w:footnote w:id="3">
    <w:p w14:paraId="066572FE" w14:textId="3101E8A9" w:rsidR="0094074E" w:rsidRDefault="0094074E">
      <w:pPr>
        <w:pStyle w:val="FootnoteText"/>
      </w:pPr>
      <w:r>
        <w:rPr>
          <w:rStyle w:val="FootnoteReference"/>
        </w:rPr>
        <w:footnoteRef/>
      </w:r>
      <w:r>
        <w:t xml:space="preserve"> </w:t>
      </w:r>
      <w:r w:rsidRPr="00232B58">
        <w:t>Charities are not required to take any form of incorporation; those that do may be established as a Charitable Trust (registered under the Charitable Trusts Act 1956 either as an unincorporated charitable trust or incorporated as a Charitable Trust Board, accounting for c. 60% of incorporated bodies), Incorporated Society (registered under the Incorporated Societies’ Act 1908 – about 31%), a Limited Liability Company (registered under the Companies Act 2013 or its precursors about 1%), or by a specific Act of Parliament. The incorporated bodies enjoy limited liability, with incorporated societies being required to have minimum membership before incorporation, while trustees of unincorporated trusts are personally liable for any debts or contracts that such bodies could enter into (Crawford et al., 2014).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25F9B"/>
    <w:multiLevelType w:val="hybridMultilevel"/>
    <w:tmpl w:val="0F72F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EE6216"/>
    <w:multiLevelType w:val="hybridMultilevel"/>
    <w:tmpl w:val="71ECF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9F63E9"/>
    <w:multiLevelType w:val="hybridMultilevel"/>
    <w:tmpl w:val="64407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E31868"/>
    <w:multiLevelType w:val="hybridMultilevel"/>
    <w:tmpl w:val="2482E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B877E2"/>
    <w:multiLevelType w:val="hybridMultilevel"/>
    <w:tmpl w:val="BF887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4767F5"/>
    <w:multiLevelType w:val="hybridMultilevel"/>
    <w:tmpl w:val="DA6AA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7DD"/>
    <w:rsid w:val="00001DA0"/>
    <w:rsid w:val="000120B2"/>
    <w:rsid w:val="000212E1"/>
    <w:rsid w:val="00052E06"/>
    <w:rsid w:val="00054991"/>
    <w:rsid w:val="000620CB"/>
    <w:rsid w:val="000700AD"/>
    <w:rsid w:val="00075997"/>
    <w:rsid w:val="00083215"/>
    <w:rsid w:val="00090789"/>
    <w:rsid w:val="000A31B7"/>
    <w:rsid w:val="000B125A"/>
    <w:rsid w:val="000B2856"/>
    <w:rsid w:val="000B5359"/>
    <w:rsid w:val="000C48AA"/>
    <w:rsid w:val="000C50FF"/>
    <w:rsid w:val="000D0BBB"/>
    <w:rsid w:val="000D17A5"/>
    <w:rsid w:val="000D2DEC"/>
    <w:rsid w:val="000D4AEE"/>
    <w:rsid w:val="000F2EA4"/>
    <w:rsid w:val="000F2FE2"/>
    <w:rsid w:val="00102B9F"/>
    <w:rsid w:val="00106294"/>
    <w:rsid w:val="001115C8"/>
    <w:rsid w:val="0011795B"/>
    <w:rsid w:val="00122969"/>
    <w:rsid w:val="00122CCD"/>
    <w:rsid w:val="001245AB"/>
    <w:rsid w:val="00132306"/>
    <w:rsid w:val="001377BA"/>
    <w:rsid w:val="00156483"/>
    <w:rsid w:val="00162833"/>
    <w:rsid w:val="00166DB8"/>
    <w:rsid w:val="001841EA"/>
    <w:rsid w:val="001851AC"/>
    <w:rsid w:val="001A025C"/>
    <w:rsid w:val="001B16C4"/>
    <w:rsid w:val="001B66AC"/>
    <w:rsid w:val="001C2F0C"/>
    <w:rsid w:val="001D1BAD"/>
    <w:rsid w:val="001D1F1C"/>
    <w:rsid w:val="001D3007"/>
    <w:rsid w:val="001E4BEF"/>
    <w:rsid w:val="001F4F03"/>
    <w:rsid w:val="002010C8"/>
    <w:rsid w:val="0020391B"/>
    <w:rsid w:val="00211D9B"/>
    <w:rsid w:val="00213304"/>
    <w:rsid w:val="00213C1B"/>
    <w:rsid w:val="00232B58"/>
    <w:rsid w:val="00237750"/>
    <w:rsid w:val="00245D21"/>
    <w:rsid w:val="0024708C"/>
    <w:rsid w:val="0026237C"/>
    <w:rsid w:val="00286607"/>
    <w:rsid w:val="002867BD"/>
    <w:rsid w:val="002A361A"/>
    <w:rsid w:val="002A40DC"/>
    <w:rsid w:val="002B5285"/>
    <w:rsid w:val="002B71B0"/>
    <w:rsid w:val="002C11E1"/>
    <w:rsid w:val="002C34E3"/>
    <w:rsid w:val="002C3EE7"/>
    <w:rsid w:val="002C459E"/>
    <w:rsid w:val="002C7C0D"/>
    <w:rsid w:val="002E2D5A"/>
    <w:rsid w:val="002F681E"/>
    <w:rsid w:val="00300F40"/>
    <w:rsid w:val="00305380"/>
    <w:rsid w:val="00320249"/>
    <w:rsid w:val="00342557"/>
    <w:rsid w:val="0034475F"/>
    <w:rsid w:val="00354A01"/>
    <w:rsid w:val="00370E3F"/>
    <w:rsid w:val="003762EB"/>
    <w:rsid w:val="0038008F"/>
    <w:rsid w:val="003874BF"/>
    <w:rsid w:val="00395416"/>
    <w:rsid w:val="003964E5"/>
    <w:rsid w:val="003D2697"/>
    <w:rsid w:val="003E033E"/>
    <w:rsid w:val="003E59E5"/>
    <w:rsid w:val="003F2B97"/>
    <w:rsid w:val="003F32CA"/>
    <w:rsid w:val="003F7BFA"/>
    <w:rsid w:val="00401A25"/>
    <w:rsid w:val="00411539"/>
    <w:rsid w:val="00420A06"/>
    <w:rsid w:val="004227A4"/>
    <w:rsid w:val="00422D35"/>
    <w:rsid w:val="0042686B"/>
    <w:rsid w:val="004359FD"/>
    <w:rsid w:val="00445763"/>
    <w:rsid w:val="004602AF"/>
    <w:rsid w:val="004737EF"/>
    <w:rsid w:val="004807DE"/>
    <w:rsid w:val="004953A4"/>
    <w:rsid w:val="00496AF1"/>
    <w:rsid w:val="00496B21"/>
    <w:rsid w:val="004B13E1"/>
    <w:rsid w:val="004B4700"/>
    <w:rsid w:val="004B601C"/>
    <w:rsid w:val="004C231A"/>
    <w:rsid w:val="004E0A7D"/>
    <w:rsid w:val="00504F50"/>
    <w:rsid w:val="00514F06"/>
    <w:rsid w:val="0052029A"/>
    <w:rsid w:val="00521EBB"/>
    <w:rsid w:val="00523A6D"/>
    <w:rsid w:val="00541783"/>
    <w:rsid w:val="0054565C"/>
    <w:rsid w:val="00557F25"/>
    <w:rsid w:val="00567AA9"/>
    <w:rsid w:val="005747DD"/>
    <w:rsid w:val="00575B8F"/>
    <w:rsid w:val="005803D7"/>
    <w:rsid w:val="00581068"/>
    <w:rsid w:val="00583AE7"/>
    <w:rsid w:val="00586709"/>
    <w:rsid w:val="005954FF"/>
    <w:rsid w:val="0059716A"/>
    <w:rsid w:val="005A3025"/>
    <w:rsid w:val="005A393E"/>
    <w:rsid w:val="005B6A53"/>
    <w:rsid w:val="005C1770"/>
    <w:rsid w:val="005C5DA0"/>
    <w:rsid w:val="005F1F01"/>
    <w:rsid w:val="005F3680"/>
    <w:rsid w:val="005F36C9"/>
    <w:rsid w:val="00600ECC"/>
    <w:rsid w:val="00602F3A"/>
    <w:rsid w:val="00603A83"/>
    <w:rsid w:val="00606D5C"/>
    <w:rsid w:val="00625BA6"/>
    <w:rsid w:val="0064214F"/>
    <w:rsid w:val="006604F3"/>
    <w:rsid w:val="00662E82"/>
    <w:rsid w:val="006644B4"/>
    <w:rsid w:val="00667817"/>
    <w:rsid w:val="00667B1B"/>
    <w:rsid w:val="006728FA"/>
    <w:rsid w:val="00674C20"/>
    <w:rsid w:val="0069231F"/>
    <w:rsid w:val="006A4B28"/>
    <w:rsid w:val="006A6A7F"/>
    <w:rsid w:val="006B0A00"/>
    <w:rsid w:val="006B2E40"/>
    <w:rsid w:val="006C14D8"/>
    <w:rsid w:val="006C2462"/>
    <w:rsid w:val="006C3245"/>
    <w:rsid w:val="006C3666"/>
    <w:rsid w:val="006C4472"/>
    <w:rsid w:val="006D0843"/>
    <w:rsid w:val="006E0FEF"/>
    <w:rsid w:val="006F1D69"/>
    <w:rsid w:val="007057A9"/>
    <w:rsid w:val="00722536"/>
    <w:rsid w:val="00727BEB"/>
    <w:rsid w:val="007326EF"/>
    <w:rsid w:val="007355E1"/>
    <w:rsid w:val="00742403"/>
    <w:rsid w:val="00756D7A"/>
    <w:rsid w:val="007607F6"/>
    <w:rsid w:val="007659B3"/>
    <w:rsid w:val="00772FD5"/>
    <w:rsid w:val="00780887"/>
    <w:rsid w:val="007907FD"/>
    <w:rsid w:val="007923FB"/>
    <w:rsid w:val="00793044"/>
    <w:rsid w:val="007C609B"/>
    <w:rsid w:val="00804090"/>
    <w:rsid w:val="0082286F"/>
    <w:rsid w:val="00853CEB"/>
    <w:rsid w:val="00853D8A"/>
    <w:rsid w:val="008636BF"/>
    <w:rsid w:val="00870C90"/>
    <w:rsid w:val="00872DB1"/>
    <w:rsid w:val="00883E38"/>
    <w:rsid w:val="00886388"/>
    <w:rsid w:val="008876C7"/>
    <w:rsid w:val="008A71C1"/>
    <w:rsid w:val="008A7DAC"/>
    <w:rsid w:val="008B716A"/>
    <w:rsid w:val="008C013B"/>
    <w:rsid w:val="008C49BD"/>
    <w:rsid w:val="008C5B43"/>
    <w:rsid w:val="008D3281"/>
    <w:rsid w:val="008D64DD"/>
    <w:rsid w:val="008E3214"/>
    <w:rsid w:val="008F3223"/>
    <w:rsid w:val="008F4B50"/>
    <w:rsid w:val="00900590"/>
    <w:rsid w:val="009265D3"/>
    <w:rsid w:val="00927B89"/>
    <w:rsid w:val="00930D8C"/>
    <w:rsid w:val="00935CD4"/>
    <w:rsid w:val="0094074E"/>
    <w:rsid w:val="0094558C"/>
    <w:rsid w:val="00946572"/>
    <w:rsid w:val="00946C61"/>
    <w:rsid w:val="00950756"/>
    <w:rsid w:val="009508C6"/>
    <w:rsid w:val="00951769"/>
    <w:rsid w:val="00955C95"/>
    <w:rsid w:val="009625E3"/>
    <w:rsid w:val="0096349D"/>
    <w:rsid w:val="00972938"/>
    <w:rsid w:val="0098532B"/>
    <w:rsid w:val="00997C8B"/>
    <w:rsid w:val="009B63C6"/>
    <w:rsid w:val="009B7082"/>
    <w:rsid w:val="009B7174"/>
    <w:rsid w:val="009C1BD1"/>
    <w:rsid w:val="009C70C7"/>
    <w:rsid w:val="009C72BD"/>
    <w:rsid w:val="009E4F8A"/>
    <w:rsid w:val="00A334E9"/>
    <w:rsid w:val="00A337E8"/>
    <w:rsid w:val="00A348A2"/>
    <w:rsid w:val="00A3659E"/>
    <w:rsid w:val="00A37877"/>
    <w:rsid w:val="00A37E00"/>
    <w:rsid w:val="00A41A94"/>
    <w:rsid w:val="00A43C25"/>
    <w:rsid w:val="00A77AFE"/>
    <w:rsid w:val="00A81E5B"/>
    <w:rsid w:val="00A85E55"/>
    <w:rsid w:val="00A93D20"/>
    <w:rsid w:val="00AA4066"/>
    <w:rsid w:val="00AA4C66"/>
    <w:rsid w:val="00AA52E1"/>
    <w:rsid w:val="00AA5C5B"/>
    <w:rsid w:val="00AB3B6E"/>
    <w:rsid w:val="00AB69E3"/>
    <w:rsid w:val="00AC328C"/>
    <w:rsid w:val="00AC7A86"/>
    <w:rsid w:val="00AD5330"/>
    <w:rsid w:val="00AD6A25"/>
    <w:rsid w:val="00B06E7A"/>
    <w:rsid w:val="00B072E2"/>
    <w:rsid w:val="00B1019B"/>
    <w:rsid w:val="00B118DC"/>
    <w:rsid w:val="00B11B55"/>
    <w:rsid w:val="00B14163"/>
    <w:rsid w:val="00B23201"/>
    <w:rsid w:val="00B31F10"/>
    <w:rsid w:val="00B36F38"/>
    <w:rsid w:val="00B52A7E"/>
    <w:rsid w:val="00B55D2D"/>
    <w:rsid w:val="00B6309C"/>
    <w:rsid w:val="00B632CE"/>
    <w:rsid w:val="00B70A2C"/>
    <w:rsid w:val="00B73000"/>
    <w:rsid w:val="00B73859"/>
    <w:rsid w:val="00B75AE0"/>
    <w:rsid w:val="00B773BE"/>
    <w:rsid w:val="00B866B6"/>
    <w:rsid w:val="00BA3CCC"/>
    <w:rsid w:val="00BD14E8"/>
    <w:rsid w:val="00BE6CB6"/>
    <w:rsid w:val="00BF2D8C"/>
    <w:rsid w:val="00BF4619"/>
    <w:rsid w:val="00BF6019"/>
    <w:rsid w:val="00C02F32"/>
    <w:rsid w:val="00C07C20"/>
    <w:rsid w:val="00C10A45"/>
    <w:rsid w:val="00C11DCA"/>
    <w:rsid w:val="00C155E0"/>
    <w:rsid w:val="00C15869"/>
    <w:rsid w:val="00C20141"/>
    <w:rsid w:val="00C2399D"/>
    <w:rsid w:val="00C40E56"/>
    <w:rsid w:val="00C46C9E"/>
    <w:rsid w:val="00C524C6"/>
    <w:rsid w:val="00C53521"/>
    <w:rsid w:val="00C5372D"/>
    <w:rsid w:val="00C84C7F"/>
    <w:rsid w:val="00C85AB3"/>
    <w:rsid w:val="00C970C0"/>
    <w:rsid w:val="00C974A8"/>
    <w:rsid w:val="00CA75FA"/>
    <w:rsid w:val="00CE0397"/>
    <w:rsid w:val="00D03A69"/>
    <w:rsid w:val="00D07760"/>
    <w:rsid w:val="00D12D7A"/>
    <w:rsid w:val="00D13749"/>
    <w:rsid w:val="00D17CB8"/>
    <w:rsid w:val="00D20A33"/>
    <w:rsid w:val="00D2176A"/>
    <w:rsid w:val="00D25202"/>
    <w:rsid w:val="00D270FA"/>
    <w:rsid w:val="00D30C05"/>
    <w:rsid w:val="00D459D9"/>
    <w:rsid w:val="00D74F58"/>
    <w:rsid w:val="00D825CA"/>
    <w:rsid w:val="00D93FCE"/>
    <w:rsid w:val="00DA166B"/>
    <w:rsid w:val="00DA19FB"/>
    <w:rsid w:val="00DB1F5E"/>
    <w:rsid w:val="00DC0AF1"/>
    <w:rsid w:val="00DC0EBE"/>
    <w:rsid w:val="00DC6689"/>
    <w:rsid w:val="00DC6CFA"/>
    <w:rsid w:val="00DD2DAD"/>
    <w:rsid w:val="00DE4362"/>
    <w:rsid w:val="00E00CE6"/>
    <w:rsid w:val="00E03845"/>
    <w:rsid w:val="00E057B4"/>
    <w:rsid w:val="00E22DA8"/>
    <w:rsid w:val="00E250A5"/>
    <w:rsid w:val="00E52489"/>
    <w:rsid w:val="00E5560D"/>
    <w:rsid w:val="00E75E5E"/>
    <w:rsid w:val="00E904EC"/>
    <w:rsid w:val="00E907C2"/>
    <w:rsid w:val="00E91456"/>
    <w:rsid w:val="00E94ED4"/>
    <w:rsid w:val="00E96B23"/>
    <w:rsid w:val="00EC7DB5"/>
    <w:rsid w:val="00EC7E29"/>
    <w:rsid w:val="00ED4DB1"/>
    <w:rsid w:val="00EE0A76"/>
    <w:rsid w:val="00EE519A"/>
    <w:rsid w:val="00EE7B22"/>
    <w:rsid w:val="00EF4C9F"/>
    <w:rsid w:val="00F01EEF"/>
    <w:rsid w:val="00F1460A"/>
    <w:rsid w:val="00F45F3C"/>
    <w:rsid w:val="00F60D11"/>
    <w:rsid w:val="00F634B5"/>
    <w:rsid w:val="00F638E7"/>
    <w:rsid w:val="00F652F9"/>
    <w:rsid w:val="00F714A7"/>
    <w:rsid w:val="00F724C8"/>
    <w:rsid w:val="00F72ED2"/>
    <w:rsid w:val="00F763A4"/>
    <w:rsid w:val="00F84D25"/>
    <w:rsid w:val="00F9744F"/>
    <w:rsid w:val="00FC7397"/>
    <w:rsid w:val="00FF145F"/>
    <w:rsid w:val="00FF24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EFBA9"/>
  <w15:chartTrackingRefBased/>
  <w15:docId w15:val="{2FA41346-09DA-468D-BFD2-9B85699A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6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B55"/>
    <w:pPr>
      <w:ind w:left="720"/>
      <w:contextualSpacing/>
    </w:pPr>
  </w:style>
  <w:style w:type="paragraph" w:styleId="Header">
    <w:name w:val="header"/>
    <w:basedOn w:val="Normal"/>
    <w:link w:val="HeaderChar"/>
    <w:uiPriority w:val="99"/>
    <w:unhideWhenUsed/>
    <w:rsid w:val="00AC3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28C"/>
  </w:style>
  <w:style w:type="paragraph" w:styleId="Footer">
    <w:name w:val="footer"/>
    <w:basedOn w:val="Normal"/>
    <w:link w:val="FooterChar"/>
    <w:uiPriority w:val="99"/>
    <w:unhideWhenUsed/>
    <w:rsid w:val="00AC32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28C"/>
  </w:style>
  <w:style w:type="character" w:styleId="Hyperlink">
    <w:name w:val="Hyperlink"/>
    <w:basedOn w:val="DefaultParagraphFont"/>
    <w:uiPriority w:val="99"/>
    <w:unhideWhenUsed/>
    <w:rsid w:val="00A348A2"/>
    <w:rPr>
      <w:color w:val="0563C1" w:themeColor="hyperlink"/>
      <w:u w:val="single"/>
    </w:rPr>
  </w:style>
  <w:style w:type="paragraph" w:styleId="FootnoteText">
    <w:name w:val="footnote text"/>
    <w:basedOn w:val="Normal"/>
    <w:link w:val="FootnoteTextChar"/>
    <w:uiPriority w:val="99"/>
    <w:unhideWhenUsed/>
    <w:rsid w:val="008F3223"/>
    <w:pPr>
      <w:spacing w:after="0" w:line="240" w:lineRule="auto"/>
    </w:pPr>
    <w:rPr>
      <w:sz w:val="20"/>
      <w:szCs w:val="20"/>
    </w:rPr>
  </w:style>
  <w:style w:type="character" w:customStyle="1" w:styleId="FootnoteTextChar">
    <w:name w:val="Footnote Text Char"/>
    <w:basedOn w:val="DefaultParagraphFont"/>
    <w:link w:val="FootnoteText"/>
    <w:uiPriority w:val="99"/>
    <w:rsid w:val="008F3223"/>
    <w:rPr>
      <w:sz w:val="20"/>
      <w:szCs w:val="20"/>
    </w:rPr>
  </w:style>
  <w:style w:type="character" w:styleId="FootnoteReference">
    <w:name w:val="footnote reference"/>
    <w:basedOn w:val="DefaultParagraphFont"/>
    <w:uiPriority w:val="99"/>
    <w:semiHidden/>
    <w:unhideWhenUsed/>
    <w:rsid w:val="008F3223"/>
    <w:rPr>
      <w:vertAlign w:val="superscript"/>
    </w:rPr>
  </w:style>
  <w:style w:type="character" w:styleId="CommentReference">
    <w:name w:val="annotation reference"/>
    <w:basedOn w:val="DefaultParagraphFont"/>
    <w:uiPriority w:val="99"/>
    <w:semiHidden/>
    <w:unhideWhenUsed/>
    <w:rsid w:val="000120B2"/>
    <w:rPr>
      <w:sz w:val="16"/>
      <w:szCs w:val="16"/>
    </w:rPr>
  </w:style>
  <w:style w:type="paragraph" w:styleId="CommentText">
    <w:name w:val="annotation text"/>
    <w:basedOn w:val="Normal"/>
    <w:link w:val="CommentTextChar"/>
    <w:uiPriority w:val="99"/>
    <w:semiHidden/>
    <w:unhideWhenUsed/>
    <w:rsid w:val="000120B2"/>
    <w:pPr>
      <w:spacing w:line="240" w:lineRule="auto"/>
    </w:pPr>
    <w:rPr>
      <w:sz w:val="20"/>
      <w:szCs w:val="20"/>
    </w:rPr>
  </w:style>
  <w:style w:type="character" w:customStyle="1" w:styleId="CommentTextChar">
    <w:name w:val="Comment Text Char"/>
    <w:basedOn w:val="DefaultParagraphFont"/>
    <w:link w:val="CommentText"/>
    <w:uiPriority w:val="99"/>
    <w:semiHidden/>
    <w:rsid w:val="000120B2"/>
    <w:rPr>
      <w:sz w:val="20"/>
      <w:szCs w:val="20"/>
    </w:rPr>
  </w:style>
  <w:style w:type="paragraph" w:styleId="CommentSubject">
    <w:name w:val="annotation subject"/>
    <w:basedOn w:val="CommentText"/>
    <w:next w:val="CommentText"/>
    <w:link w:val="CommentSubjectChar"/>
    <w:uiPriority w:val="99"/>
    <w:semiHidden/>
    <w:unhideWhenUsed/>
    <w:rsid w:val="000120B2"/>
    <w:rPr>
      <w:b/>
      <w:bCs/>
    </w:rPr>
  </w:style>
  <w:style w:type="character" w:customStyle="1" w:styleId="CommentSubjectChar">
    <w:name w:val="Comment Subject Char"/>
    <w:basedOn w:val="CommentTextChar"/>
    <w:link w:val="CommentSubject"/>
    <w:uiPriority w:val="99"/>
    <w:semiHidden/>
    <w:rsid w:val="000120B2"/>
    <w:rPr>
      <w:b/>
      <w:bCs/>
      <w:sz w:val="20"/>
      <w:szCs w:val="20"/>
    </w:rPr>
  </w:style>
  <w:style w:type="paragraph" w:styleId="BalloonText">
    <w:name w:val="Balloon Text"/>
    <w:basedOn w:val="Normal"/>
    <w:link w:val="BalloonTextChar"/>
    <w:uiPriority w:val="99"/>
    <w:semiHidden/>
    <w:unhideWhenUsed/>
    <w:rsid w:val="000120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0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92481">
      <w:bodyDiv w:val="1"/>
      <w:marLeft w:val="0"/>
      <w:marRight w:val="0"/>
      <w:marTop w:val="0"/>
      <w:marBottom w:val="0"/>
      <w:divBdr>
        <w:top w:val="none" w:sz="0" w:space="0" w:color="auto"/>
        <w:left w:val="none" w:sz="0" w:space="0" w:color="auto"/>
        <w:bottom w:val="none" w:sz="0" w:space="0" w:color="auto"/>
        <w:right w:val="none" w:sz="0" w:space="0" w:color="auto"/>
      </w:divBdr>
    </w:div>
    <w:div w:id="160505768">
      <w:bodyDiv w:val="1"/>
      <w:marLeft w:val="0"/>
      <w:marRight w:val="0"/>
      <w:marTop w:val="0"/>
      <w:marBottom w:val="0"/>
      <w:divBdr>
        <w:top w:val="none" w:sz="0" w:space="0" w:color="auto"/>
        <w:left w:val="none" w:sz="0" w:space="0" w:color="auto"/>
        <w:bottom w:val="none" w:sz="0" w:space="0" w:color="auto"/>
        <w:right w:val="none" w:sz="0" w:space="0" w:color="auto"/>
      </w:divBdr>
    </w:div>
    <w:div w:id="182407278">
      <w:bodyDiv w:val="1"/>
      <w:marLeft w:val="0"/>
      <w:marRight w:val="0"/>
      <w:marTop w:val="0"/>
      <w:marBottom w:val="0"/>
      <w:divBdr>
        <w:top w:val="none" w:sz="0" w:space="0" w:color="auto"/>
        <w:left w:val="none" w:sz="0" w:space="0" w:color="auto"/>
        <w:bottom w:val="none" w:sz="0" w:space="0" w:color="auto"/>
        <w:right w:val="none" w:sz="0" w:space="0" w:color="auto"/>
      </w:divBdr>
    </w:div>
    <w:div w:id="189608053">
      <w:bodyDiv w:val="1"/>
      <w:marLeft w:val="0"/>
      <w:marRight w:val="0"/>
      <w:marTop w:val="0"/>
      <w:marBottom w:val="0"/>
      <w:divBdr>
        <w:top w:val="none" w:sz="0" w:space="0" w:color="auto"/>
        <w:left w:val="none" w:sz="0" w:space="0" w:color="auto"/>
        <w:bottom w:val="none" w:sz="0" w:space="0" w:color="auto"/>
        <w:right w:val="none" w:sz="0" w:space="0" w:color="auto"/>
      </w:divBdr>
    </w:div>
    <w:div w:id="391735802">
      <w:bodyDiv w:val="1"/>
      <w:marLeft w:val="0"/>
      <w:marRight w:val="0"/>
      <w:marTop w:val="0"/>
      <w:marBottom w:val="0"/>
      <w:divBdr>
        <w:top w:val="none" w:sz="0" w:space="0" w:color="auto"/>
        <w:left w:val="none" w:sz="0" w:space="0" w:color="auto"/>
        <w:bottom w:val="none" w:sz="0" w:space="0" w:color="auto"/>
        <w:right w:val="none" w:sz="0" w:space="0" w:color="auto"/>
      </w:divBdr>
    </w:div>
    <w:div w:id="398292522">
      <w:bodyDiv w:val="1"/>
      <w:marLeft w:val="0"/>
      <w:marRight w:val="0"/>
      <w:marTop w:val="0"/>
      <w:marBottom w:val="0"/>
      <w:divBdr>
        <w:top w:val="none" w:sz="0" w:space="0" w:color="auto"/>
        <w:left w:val="none" w:sz="0" w:space="0" w:color="auto"/>
        <w:bottom w:val="none" w:sz="0" w:space="0" w:color="auto"/>
        <w:right w:val="none" w:sz="0" w:space="0" w:color="auto"/>
      </w:divBdr>
    </w:div>
    <w:div w:id="570702783">
      <w:bodyDiv w:val="1"/>
      <w:marLeft w:val="0"/>
      <w:marRight w:val="0"/>
      <w:marTop w:val="0"/>
      <w:marBottom w:val="0"/>
      <w:divBdr>
        <w:top w:val="none" w:sz="0" w:space="0" w:color="auto"/>
        <w:left w:val="none" w:sz="0" w:space="0" w:color="auto"/>
        <w:bottom w:val="none" w:sz="0" w:space="0" w:color="auto"/>
        <w:right w:val="none" w:sz="0" w:space="0" w:color="auto"/>
      </w:divBdr>
    </w:div>
    <w:div w:id="583534842">
      <w:bodyDiv w:val="1"/>
      <w:marLeft w:val="0"/>
      <w:marRight w:val="0"/>
      <w:marTop w:val="0"/>
      <w:marBottom w:val="0"/>
      <w:divBdr>
        <w:top w:val="none" w:sz="0" w:space="0" w:color="auto"/>
        <w:left w:val="none" w:sz="0" w:space="0" w:color="auto"/>
        <w:bottom w:val="none" w:sz="0" w:space="0" w:color="auto"/>
        <w:right w:val="none" w:sz="0" w:space="0" w:color="auto"/>
      </w:divBdr>
    </w:div>
    <w:div w:id="651981867">
      <w:bodyDiv w:val="1"/>
      <w:marLeft w:val="0"/>
      <w:marRight w:val="0"/>
      <w:marTop w:val="0"/>
      <w:marBottom w:val="0"/>
      <w:divBdr>
        <w:top w:val="none" w:sz="0" w:space="0" w:color="auto"/>
        <w:left w:val="none" w:sz="0" w:space="0" w:color="auto"/>
        <w:bottom w:val="none" w:sz="0" w:space="0" w:color="auto"/>
        <w:right w:val="none" w:sz="0" w:space="0" w:color="auto"/>
      </w:divBdr>
    </w:div>
    <w:div w:id="652759576">
      <w:bodyDiv w:val="1"/>
      <w:marLeft w:val="0"/>
      <w:marRight w:val="0"/>
      <w:marTop w:val="0"/>
      <w:marBottom w:val="0"/>
      <w:divBdr>
        <w:top w:val="none" w:sz="0" w:space="0" w:color="auto"/>
        <w:left w:val="none" w:sz="0" w:space="0" w:color="auto"/>
        <w:bottom w:val="none" w:sz="0" w:space="0" w:color="auto"/>
        <w:right w:val="none" w:sz="0" w:space="0" w:color="auto"/>
      </w:divBdr>
    </w:div>
    <w:div w:id="697434143">
      <w:bodyDiv w:val="1"/>
      <w:marLeft w:val="0"/>
      <w:marRight w:val="0"/>
      <w:marTop w:val="0"/>
      <w:marBottom w:val="0"/>
      <w:divBdr>
        <w:top w:val="none" w:sz="0" w:space="0" w:color="auto"/>
        <w:left w:val="none" w:sz="0" w:space="0" w:color="auto"/>
        <w:bottom w:val="none" w:sz="0" w:space="0" w:color="auto"/>
        <w:right w:val="none" w:sz="0" w:space="0" w:color="auto"/>
      </w:divBdr>
    </w:div>
    <w:div w:id="800925714">
      <w:bodyDiv w:val="1"/>
      <w:marLeft w:val="0"/>
      <w:marRight w:val="0"/>
      <w:marTop w:val="0"/>
      <w:marBottom w:val="0"/>
      <w:divBdr>
        <w:top w:val="none" w:sz="0" w:space="0" w:color="auto"/>
        <w:left w:val="none" w:sz="0" w:space="0" w:color="auto"/>
        <w:bottom w:val="none" w:sz="0" w:space="0" w:color="auto"/>
        <w:right w:val="none" w:sz="0" w:space="0" w:color="auto"/>
      </w:divBdr>
    </w:div>
    <w:div w:id="812871392">
      <w:bodyDiv w:val="1"/>
      <w:marLeft w:val="0"/>
      <w:marRight w:val="0"/>
      <w:marTop w:val="0"/>
      <w:marBottom w:val="0"/>
      <w:divBdr>
        <w:top w:val="none" w:sz="0" w:space="0" w:color="auto"/>
        <w:left w:val="none" w:sz="0" w:space="0" w:color="auto"/>
        <w:bottom w:val="none" w:sz="0" w:space="0" w:color="auto"/>
        <w:right w:val="none" w:sz="0" w:space="0" w:color="auto"/>
      </w:divBdr>
    </w:div>
    <w:div w:id="887766551">
      <w:bodyDiv w:val="1"/>
      <w:marLeft w:val="0"/>
      <w:marRight w:val="0"/>
      <w:marTop w:val="0"/>
      <w:marBottom w:val="0"/>
      <w:divBdr>
        <w:top w:val="none" w:sz="0" w:space="0" w:color="auto"/>
        <w:left w:val="none" w:sz="0" w:space="0" w:color="auto"/>
        <w:bottom w:val="none" w:sz="0" w:space="0" w:color="auto"/>
        <w:right w:val="none" w:sz="0" w:space="0" w:color="auto"/>
      </w:divBdr>
    </w:div>
    <w:div w:id="927805737">
      <w:bodyDiv w:val="1"/>
      <w:marLeft w:val="0"/>
      <w:marRight w:val="0"/>
      <w:marTop w:val="0"/>
      <w:marBottom w:val="0"/>
      <w:divBdr>
        <w:top w:val="none" w:sz="0" w:space="0" w:color="auto"/>
        <w:left w:val="none" w:sz="0" w:space="0" w:color="auto"/>
        <w:bottom w:val="none" w:sz="0" w:space="0" w:color="auto"/>
        <w:right w:val="none" w:sz="0" w:space="0" w:color="auto"/>
      </w:divBdr>
    </w:div>
    <w:div w:id="947349503">
      <w:bodyDiv w:val="1"/>
      <w:marLeft w:val="0"/>
      <w:marRight w:val="0"/>
      <w:marTop w:val="0"/>
      <w:marBottom w:val="0"/>
      <w:divBdr>
        <w:top w:val="none" w:sz="0" w:space="0" w:color="auto"/>
        <w:left w:val="none" w:sz="0" w:space="0" w:color="auto"/>
        <w:bottom w:val="none" w:sz="0" w:space="0" w:color="auto"/>
        <w:right w:val="none" w:sz="0" w:space="0" w:color="auto"/>
      </w:divBdr>
    </w:div>
    <w:div w:id="955716890">
      <w:bodyDiv w:val="1"/>
      <w:marLeft w:val="0"/>
      <w:marRight w:val="0"/>
      <w:marTop w:val="0"/>
      <w:marBottom w:val="0"/>
      <w:divBdr>
        <w:top w:val="none" w:sz="0" w:space="0" w:color="auto"/>
        <w:left w:val="none" w:sz="0" w:space="0" w:color="auto"/>
        <w:bottom w:val="none" w:sz="0" w:space="0" w:color="auto"/>
        <w:right w:val="none" w:sz="0" w:space="0" w:color="auto"/>
      </w:divBdr>
    </w:div>
    <w:div w:id="1127359885">
      <w:bodyDiv w:val="1"/>
      <w:marLeft w:val="0"/>
      <w:marRight w:val="0"/>
      <w:marTop w:val="0"/>
      <w:marBottom w:val="0"/>
      <w:divBdr>
        <w:top w:val="none" w:sz="0" w:space="0" w:color="auto"/>
        <w:left w:val="none" w:sz="0" w:space="0" w:color="auto"/>
        <w:bottom w:val="none" w:sz="0" w:space="0" w:color="auto"/>
        <w:right w:val="none" w:sz="0" w:space="0" w:color="auto"/>
      </w:divBdr>
    </w:div>
    <w:div w:id="1276250648">
      <w:bodyDiv w:val="1"/>
      <w:marLeft w:val="0"/>
      <w:marRight w:val="0"/>
      <w:marTop w:val="0"/>
      <w:marBottom w:val="0"/>
      <w:divBdr>
        <w:top w:val="none" w:sz="0" w:space="0" w:color="auto"/>
        <w:left w:val="none" w:sz="0" w:space="0" w:color="auto"/>
        <w:bottom w:val="none" w:sz="0" w:space="0" w:color="auto"/>
        <w:right w:val="none" w:sz="0" w:space="0" w:color="auto"/>
      </w:divBdr>
    </w:div>
    <w:div w:id="1540700986">
      <w:bodyDiv w:val="1"/>
      <w:marLeft w:val="0"/>
      <w:marRight w:val="0"/>
      <w:marTop w:val="0"/>
      <w:marBottom w:val="0"/>
      <w:divBdr>
        <w:top w:val="none" w:sz="0" w:space="0" w:color="auto"/>
        <w:left w:val="none" w:sz="0" w:space="0" w:color="auto"/>
        <w:bottom w:val="none" w:sz="0" w:space="0" w:color="auto"/>
        <w:right w:val="none" w:sz="0" w:space="0" w:color="auto"/>
      </w:divBdr>
    </w:div>
    <w:div w:id="1930844252">
      <w:bodyDiv w:val="1"/>
      <w:marLeft w:val="0"/>
      <w:marRight w:val="0"/>
      <w:marTop w:val="0"/>
      <w:marBottom w:val="0"/>
      <w:divBdr>
        <w:top w:val="none" w:sz="0" w:space="0" w:color="auto"/>
        <w:left w:val="none" w:sz="0" w:space="0" w:color="auto"/>
        <w:bottom w:val="none" w:sz="0" w:space="0" w:color="auto"/>
        <w:right w:val="none" w:sz="0" w:space="0" w:color="auto"/>
      </w:divBdr>
    </w:div>
    <w:div w:id="204363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harities.govt.nz/assets/Resouces/data-dictionary.cs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data.charities.govt.n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accfor.2018.05.00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68D11-33B1-434E-8470-E206F7490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25</Pages>
  <Words>5802</Words>
  <Characters>33074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38799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mcdonndz-local</dc:creator>
  <cp:keywords/>
  <dc:description/>
  <cp:lastModifiedBy>DiarmuidMc</cp:lastModifiedBy>
  <cp:revision>30</cp:revision>
  <cp:lastPrinted>2019-11-18T18:52:00Z</cp:lastPrinted>
  <dcterms:created xsi:type="dcterms:W3CDTF">2019-11-18T12:54:00Z</dcterms:created>
  <dcterms:modified xsi:type="dcterms:W3CDTF">2019-11-18T18:53:00Z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http://www.zotero.org/styles/the-accounting-review</vt:lpwstr>
  </property>
  <property fmtid="{D5CDD505-2E9C-101B-9397-08002B2CF9AE}" pid="19" name="Mendeley Recent Style Name 8_1">
    <vt:lpwstr>The Accounting Review</vt:lpwstr>
  </property>
  <property fmtid="{D5CDD505-2E9C-101B-9397-08002B2CF9AE}" pid="20" name="Mendeley Recent Style Id 9_1">
    <vt:lpwstr>http://www.zotero.org/styles/the-british-accounting-review</vt:lpwstr>
  </property>
  <property fmtid="{D5CDD505-2E9C-101B-9397-08002B2CF9AE}" pid="21" name="Mendeley Recent Style Name 9_1">
    <vt:lpwstr>The British Accounting Review</vt:lpwstr>
  </property>
  <property fmtid="{D5CDD505-2E9C-101B-9397-08002B2CF9AE}" pid="22" name="Mendeley Document_1">
    <vt:lpwstr>True</vt:lpwstr>
  </property>
  <property fmtid="{D5CDD505-2E9C-101B-9397-08002B2CF9AE}" pid="23" name="Mendeley Unique User Id_1">
    <vt:lpwstr>2771380e-0c59-35c3-9e39-4bd0f0bc45e4</vt:lpwstr>
  </property>
  <property fmtid="{D5CDD505-2E9C-101B-9397-08002B2CF9AE}" pid="24" name="Mendeley Citation Style_1">
    <vt:lpwstr>http://www.zotero.org/styles/apa</vt:lpwstr>
  </property>
</Properties>
</file>