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1. Research Fellow. Third Sector Research </w:t>
      </w:r>
      <w:proofErr w:type="spellStart"/>
      <w:r w:rsidRPr="0059716A">
        <w:rPr>
          <w:rFonts w:ascii="Times New Roman" w:hAnsi="Times New Roman" w:cs="Times New Roman"/>
          <w:sz w:val="24"/>
          <w:szCs w:val="24"/>
        </w:rPr>
        <w:t>Center</w:t>
      </w:r>
      <w:proofErr w:type="spellEnd"/>
      <w:r w:rsidRPr="0059716A">
        <w:rPr>
          <w:rFonts w:ascii="Times New Roman" w:hAnsi="Times New Roman" w:cs="Times New Roman"/>
          <w:sz w:val="24"/>
          <w:szCs w:val="24"/>
        </w:rPr>
        <w:t>,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2. Professor of Social Statistics. Faculty of Social Sciences, Colin Bell Building, University </w:t>
      </w:r>
      <w:proofErr w:type="gramStart"/>
      <w:r w:rsidRPr="0059716A">
        <w:rPr>
          <w:rFonts w:ascii="Times New Roman" w:hAnsi="Times New Roman" w:cs="Times New Roman"/>
          <w:sz w:val="24"/>
          <w:szCs w:val="24"/>
        </w:rPr>
        <w:t>of</w:t>
      </w:r>
      <w:proofErr w:type="gramEnd"/>
      <w:r w:rsidRPr="0059716A">
        <w:rPr>
          <w:rFonts w:ascii="Times New Roman" w:hAnsi="Times New Roman" w:cs="Times New Roman"/>
          <w:sz w:val="24"/>
          <w:szCs w:val="24"/>
        </w:rPr>
        <w:t xml:space="preserve">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251EFE1B"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w:t>
      </w:r>
      <w:bookmarkStart w:id="0" w:name="_GoBack"/>
      <w:bookmarkEnd w:id="0"/>
      <w:r w:rsidRPr="0059716A">
        <w:rPr>
          <w:rFonts w:ascii="Times New Roman" w:hAnsi="Times New Roman" w:cs="Times New Roman"/>
          <w:sz w:val="24"/>
          <w:szCs w:val="24"/>
        </w:rPr>
        <w:t>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E22DA8">
        <w:rPr>
          <w:rFonts w:ascii="Times New Roman" w:hAnsi="Times New Roman" w:cs="Times New Roman"/>
          <w:sz w:val="24"/>
          <w:szCs w:val="24"/>
        </w:rPr>
        <w:t xml:space="preserve">, specifically </w:t>
      </w:r>
      <w:r w:rsidR="00D74F58" w:rsidRPr="0059716A">
        <w:rPr>
          <w:rFonts w:ascii="Times New Roman" w:hAnsi="Times New Roman" w:cs="Times New Roman"/>
          <w:sz w:val="24"/>
          <w:szCs w:val="24"/>
        </w:rPr>
        <w:t xml:space="preserve">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w:t>
      </w:r>
      <w:proofErr w:type="gramStart"/>
      <w:r w:rsidR="008E3214" w:rsidRPr="0059716A">
        <w:rPr>
          <w:rFonts w:ascii="Times New Roman" w:hAnsi="Times New Roman" w:cs="Times New Roman"/>
          <w:sz w:val="24"/>
          <w:szCs w:val="24"/>
        </w:rPr>
        <w:t>law</w:t>
      </w:r>
      <w:proofErr w:type="gramEnd"/>
      <w:r w:rsidR="008E3214" w:rsidRPr="0059716A">
        <w:rPr>
          <w:rFonts w:ascii="Times New Roman" w:hAnsi="Times New Roman" w:cs="Times New Roman"/>
          <w:sz w:val="24"/>
          <w:szCs w:val="24"/>
        </w:rPr>
        <w:t xml:space="preserve"> and data science in order to address important questions in novel ways.</w:t>
      </w:r>
    </w:p>
    <w:p w14:paraId="149CDCA9" w14:textId="5724F5A2" w:rsidR="00AC328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w:t>
      </w:r>
      <w:r w:rsidR="00320249" w:rsidRPr="0059716A">
        <w:rPr>
          <w:rFonts w:ascii="Times New Roman" w:hAnsi="Times New Roman" w:cs="Times New Roman"/>
          <w:sz w:val="24"/>
          <w:szCs w:val="24"/>
        </w:rPr>
        <w:t>dissolution</w:t>
      </w:r>
      <w:r w:rsidR="00102B9F" w:rsidRPr="0059716A">
        <w:rPr>
          <w:rFonts w:ascii="Times New Roman" w:hAnsi="Times New Roman" w:cs="Times New Roman"/>
          <w:sz w:val="24"/>
          <w:szCs w:val="24"/>
        </w:rPr>
        <w:br w:type="page"/>
      </w:r>
      <w:r w:rsidR="006D0843" w:rsidRPr="0059716A">
        <w:rPr>
          <w:rFonts w:ascii="Times New Roman" w:hAnsi="Times New Roman" w:cs="Times New Roman"/>
          <w:b/>
          <w:sz w:val="24"/>
          <w:szCs w:val="24"/>
        </w:rPr>
        <w:lastRenderedPageBreak/>
        <w:t>1.</w:t>
      </w:r>
      <w:r w:rsidR="006D0843" w:rsidRPr="0059716A">
        <w:rPr>
          <w:rFonts w:ascii="Times New Roman" w:hAnsi="Times New Roman" w:cs="Times New Roman"/>
          <w:sz w:val="24"/>
          <w:szCs w:val="24"/>
        </w:rPr>
        <w:t xml:space="preserve"> </w:t>
      </w:r>
      <w:r w:rsidR="00AC328C" w:rsidRPr="0059716A">
        <w:rPr>
          <w:rFonts w:ascii="Times New Roman" w:hAnsi="Times New Roman" w:cs="Times New Roman"/>
          <w:b/>
          <w:sz w:val="24"/>
          <w:szCs w:val="24"/>
        </w:rPr>
        <w:t>Introduction</w:t>
      </w:r>
    </w:p>
    <w:p w14:paraId="60CA0C1F" w14:textId="12144D08" w:rsidR="001841EA" w:rsidRPr="0059716A" w:rsidRDefault="00AC328C" w:rsidP="0059716A">
      <w:pPr>
        <w:spacing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sidRPr="0059716A">
        <w:rPr>
          <w:rFonts w:ascii="Times New Roman" w:hAnsi="Times New Roman" w:cs="Times New Roman"/>
          <w:sz w:val="24"/>
          <w:szCs w:val="24"/>
        </w:rPr>
        <w:t>2019</w:t>
      </w:r>
      <w:r w:rsidRPr="0059716A">
        <w:rPr>
          <w:rFonts w:ascii="Times New Roman" w:hAnsi="Times New Roman" w:cs="Times New Roman"/>
          <w:sz w:val="24"/>
          <w:szCs w:val="24"/>
        </w:rPr>
        <w:t xml:space="preserve">). This requires regulators to leverage their considerable data resources to better target their interventionist and advisory activities, and deliver their mandate. Until recently, relatively little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w:t>
      </w:r>
      <w:proofErr w:type="spellStart"/>
      <w:r w:rsidR="001841EA" w:rsidRPr="0059716A">
        <w:rPr>
          <w:rFonts w:ascii="Times New Roman" w:hAnsi="Times New Roman" w:cs="Times New Roman"/>
          <w:sz w:val="24"/>
          <w:szCs w:val="24"/>
        </w:rPr>
        <w:t>Deguchi</w:t>
      </w:r>
      <w:proofErr w:type="spellEnd"/>
      <w:r w:rsidR="001841EA" w:rsidRPr="0059716A">
        <w:rPr>
          <w:rFonts w:ascii="Times New Roman" w:hAnsi="Times New Roman" w:cs="Times New Roman"/>
          <w:sz w:val="24"/>
          <w:szCs w:val="24"/>
        </w:rPr>
        <w:t xml:space="preserve">, </w:t>
      </w:r>
      <w:r w:rsidR="00F652F9">
        <w:rPr>
          <w:rFonts w:ascii="Times New Roman" w:hAnsi="Times New Roman" w:cs="Times New Roman"/>
          <w:sz w:val="24"/>
          <w:szCs w:val="24"/>
        </w:rPr>
        <w:t>2018</w:t>
      </w:r>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shut down (e.g. insufficient funds, non-compliance with legal requirements), but this project will focus on organisations that dissolve after accomplishing their mission. The charity sector's claim to exist for the public good is no longer assumed and must be evidenced (Brody, 2002). However, little is known about the extent to which charities accomplish their missions. Given the increasing scrutiny on charitable organisations in many jurisdictions and the importance of public confidence to their sustainability (Breen, 2009; Keating &amp; </w:t>
      </w:r>
      <w:proofErr w:type="spellStart"/>
      <w:r w:rsidR="001841EA" w:rsidRPr="0059716A">
        <w:rPr>
          <w:rFonts w:ascii="Times New Roman" w:hAnsi="Times New Roman" w:cs="Times New Roman"/>
          <w:sz w:val="24"/>
          <w:szCs w:val="24"/>
        </w:rPr>
        <w:t>Frumkin</w:t>
      </w:r>
      <w:proofErr w:type="spellEnd"/>
      <w:r w:rsidR="001841EA" w:rsidRPr="0059716A">
        <w:rPr>
          <w:rFonts w:ascii="Times New Roman" w:hAnsi="Times New Roman" w:cs="Times New Roman"/>
          <w:sz w:val="24"/>
          <w:szCs w:val="24"/>
        </w:rPr>
        <w:t xml:space="preserve">,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monitoring the sector (Saxton et al., 2012).</w:t>
      </w:r>
    </w:p>
    <w:p w14:paraId="423FDB1A" w14:textId="4A6D3773" w:rsidR="00E907C2"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w:t>
      </w:r>
      <w:r w:rsidR="00E22DA8">
        <w:rPr>
          <w:rFonts w:ascii="Times New Roman" w:hAnsi="Times New Roman" w:cs="Times New Roman"/>
          <w:sz w:val="24"/>
          <w:szCs w:val="24"/>
        </w:rPr>
        <w:t xml:space="preserve">describes the study site: the New Zealand charity sector. Then we </w:t>
      </w:r>
      <w:r w:rsidR="00E907C2" w:rsidRPr="0059716A">
        <w:rPr>
          <w:rFonts w:ascii="Times New Roman" w:hAnsi="Times New Roman" w:cs="Times New Roman"/>
          <w:sz w:val="24"/>
          <w:szCs w:val="24"/>
        </w:rPr>
        <w:t xml:space="preserve">review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1E42D8C1" w14:textId="77777777" w:rsidR="00E22DA8" w:rsidRPr="0059716A" w:rsidRDefault="00E22DA8" w:rsidP="00E22DA8">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p>
    <w:p w14:paraId="05821891" w14:textId="310716D2" w:rsidR="00E22DA8" w:rsidRDefault="00E22DA8" w:rsidP="00E22D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charity regulator in New Zealand began in mid-2007, having been established under the Charities Act 2005. While it began as an Autonomous Crown Entity, since 2012, it has been situated within a large government department (Cordery &amp; </w:t>
      </w:r>
      <w:proofErr w:type="spellStart"/>
      <w:r>
        <w:rPr>
          <w:rFonts w:ascii="Times New Roman" w:hAnsi="Times New Roman" w:cs="Times New Roman"/>
          <w:sz w:val="24"/>
          <w:szCs w:val="24"/>
        </w:rPr>
        <w:t>Deguchi</w:t>
      </w:r>
      <w:proofErr w:type="spellEnd"/>
      <w:r>
        <w:rPr>
          <w:rFonts w:ascii="Times New Roman" w:hAnsi="Times New Roman" w:cs="Times New Roman"/>
          <w:sz w:val="24"/>
          <w:szCs w:val="24"/>
        </w:rPr>
        <w:t>, 2018). Charities have always been required to report annually to retain their registration and this includes details of the sector, main beneficiaries, updated officer/trustees and financial reporting. No specific financial accounting standards had been developed and therefore charity reporting was previously highly diverse. From 2009-2011, accounting requirements for the public and private sectors were overhauled owing to a need for a more strategic approach to reporting and the new arrangements included a full set of standards for the charity sector (with increasing levels of measurement and disclosure based on four different tiers related to annual expenditure) and these new charity</w:t>
      </w:r>
      <w:r w:rsidRPr="00F652F9">
        <w:rPr>
          <w:rFonts w:ascii="Times New Roman" w:hAnsi="Times New Roman" w:cs="Times New Roman"/>
          <w:sz w:val="24"/>
          <w:szCs w:val="24"/>
        </w:rPr>
        <w:t xml:space="preserve"> accounting standards </w:t>
      </w:r>
      <w:r>
        <w:rPr>
          <w:rFonts w:ascii="Times New Roman" w:hAnsi="Times New Roman" w:cs="Times New Roman"/>
          <w:sz w:val="24"/>
          <w:szCs w:val="24"/>
        </w:rPr>
        <w:t>were</w:t>
      </w:r>
      <w:r w:rsidRPr="00F652F9">
        <w:rPr>
          <w:rFonts w:ascii="Times New Roman" w:hAnsi="Times New Roman" w:cs="Times New Roman"/>
          <w:sz w:val="24"/>
          <w:szCs w:val="24"/>
        </w:rPr>
        <w:t xml:space="preserve"> mandatory for all charities from 2016. </w:t>
      </w:r>
      <w:r w:rsidRPr="00B52A7E">
        <w:rPr>
          <w:rFonts w:ascii="Times New Roman" w:hAnsi="Times New Roman" w:cs="Times New Roman"/>
          <w:sz w:val="24"/>
          <w:szCs w:val="24"/>
        </w:rPr>
        <w:t xml:space="preserve">Charities with expenditure over NZD1 million must have these statements audited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{"citationItems":[{"id":"ITEM-1","itemData":{"ISBN":"9780992820503","abstract":"Key Findings • The majority of survey respondents (72%) indicated that they thought it would be useful to have international standards for financial reporting by not-for-profit organisations (NPOs) – though respondents interpreted the term ‘standards’ in different ways. • Many respondents, especially those involved with NPOs operating in developing countries, would welcome a standard if it could contribute to resolving the diverse and inconsistent demands from funders. • However, 14% were opposed to an international NPO standard. The strongest objections appear to come from countries such as the UK, which already have well developed frameworks for NPO accounting. • This report is the first step towards establishing whether or not there is a case for developing harmonised international standards for NPO financial reporting. • Much more analysis and discussion will be needed between interested parties: the findings presented in this report have the potential to inform the debate and move that discussion forward.","author":[{"dropping-particle":"","family":"Crawford","given":"Louise","non-dropping-particle":"","parse-names":false,"suffix":""},{"dropping-particle":"","family":"Morgan","given":"Gareth G","non-dropping-particle":"","parse-names":false,"suffix":""},{"dropping-particle":"","family":"Cordery","given":"Carolyn J","non-dropping-particle":"","parse-names":false,"suffix":""},{"dropping-particle":"","family":"Breen","given":"Oonagh B","non-dropping-particle":"","parse-names":false,"suffix":""}],"id":"ITEM-1","issue":"February","issued":{"date-parts":[["2014"]]},"number-of-pages":"137","publisher-place":"London, UK","title":"International financial reporting for the not-for-profit sector: a study commissioned by the CCAB","type":"report"},"uris":["http://www.mendeley.com/documents/?uuid=4d184d04-f786-4625-835d-667c76c93867"]}],"mendeley":{"formattedCitation":"(Crawford, Morgan, Cordery, &amp; Breen, 2014)","plainTextFormattedCitation":"(Crawford, Morgan, Cordery, &amp; Breen, 2014)","previouslyFormattedCitation":"(Crawford, Morgan, Cordery, &amp; Breen, 2014)"},"properties":{"noteIndex":0},"schema":"https://github.com/citation-style-language/schema/raw/master/csl-citation.json"}</w:instrText>
      </w:r>
      <w:r>
        <w:rPr>
          <w:rFonts w:ascii="Times New Roman" w:hAnsi="Times New Roman" w:cs="Times New Roman"/>
          <w:sz w:val="24"/>
          <w:szCs w:val="24"/>
        </w:rPr>
        <w:fldChar w:fldCharType="separate"/>
      </w:r>
      <w:r w:rsidRPr="00B52A7E">
        <w:rPr>
          <w:rFonts w:ascii="Times New Roman" w:hAnsi="Times New Roman" w:cs="Times New Roman"/>
          <w:noProof/>
          <w:sz w:val="24"/>
          <w:szCs w:val="24"/>
        </w:rPr>
        <w:t>(Crawford, Morgan, Cordery, &amp; Breen, 2014)</w:t>
      </w:r>
      <w:r>
        <w:rPr>
          <w:rFonts w:ascii="Times New Roman" w:hAnsi="Times New Roman" w:cs="Times New Roman"/>
          <w:sz w:val="24"/>
          <w:szCs w:val="24"/>
        </w:rPr>
        <w:fldChar w:fldCharType="end"/>
      </w:r>
      <w:r w:rsidRPr="00B52A7E">
        <w:rPr>
          <w:rFonts w:ascii="Times New Roman" w:hAnsi="Times New Roman" w:cs="Times New Roman"/>
          <w:sz w:val="24"/>
          <w:szCs w:val="24"/>
        </w:rPr>
        <w:t>.</w:t>
      </w:r>
      <w:r>
        <w:rPr>
          <w:rFonts w:ascii="Times New Roman" w:hAnsi="Times New Roman" w:cs="Times New Roman"/>
          <w:sz w:val="24"/>
          <w:szCs w:val="24"/>
        </w:rPr>
        <w:t xml:space="preserve"> </w:t>
      </w:r>
      <w:r w:rsidR="00D93FCE" w:rsidRPr="00D93FCE">
        <w:rPr>
          <w:rFonts w:ascii="Times New Roman" w:hAnsi="Times New Roman" w:cs="Times New Roman"/>
          <w:sz w:val="24"/>
          <w:szCs w:val="24"/>
        </w:rPr>
        <w:t xml:space="preserve">For charities with </w:t>
      </w:r>
      <w:r w:rsidR="00D93FCE" w:rsidRPr="00D93FCE">
        <w:rPr>
          <w:rFonts w:ascii="Times New Roman" w:hAnsi="Times New Roman" w:cs="Times New Roman"/>
          <w:sz w:val="24"/>
          <w:szCs w:val="24"/>
        </w:rPr>
        <w:lastRenderedPageBreak/>
        <w:t>expenditure of less than NZD</w:t>
      </w:r>
      <w:r w:rsidR="00D93FCE">
        <w:rPr>
          <w:rFonts w:ascii="Times New Roman" w:hAnsi="Times New Roman" w:cs="Times New Roman"/>
          <w:sz w:val="24"/>
          <w:szCs w:val="24"/>
        </w:rPr>
        <w:t>2 million, in addition to finan</w:t>
      </w:r>
      <w:r w:rsidR="00D93FCE" w:rsidRPr="00D93FCE">
        <w:rPr>
          <w:rFonts w:ascii="Times New Roman" w:hAnsi="Times New Roman" w:cs="Times New Roman"/>
          <w:sz w:val="24"/>
          <w:szCs w:val="24"/>
        </w:rPr>
        <w:t>c</w:t>
      </w:r>
      <w:r w:rsidR="00D93FCE">
        <w:rPr>
          <w:rFonts w:ascii="Times New Roman" w:hAnsi="Times New Roman" w:cs="Times New Roman"/>
          <w:sz w:val="24"/>
          <w:szCs w:val="24"/>
        </w:rPr>
        <w:t>i</w:t>
      </w:r>
      <w:r w:rsidR="00D93FCE" w:rsidRPr="00D93FCE">
        <w:rPr>
          <w:rFonts w:ascii="Times New Roman" w:hAnsi="Times New Roman" w:cs="Times New Roman"/>
          <w:sz w:val="24"/>
          <w:szCs w:val="24"/>
        </w:rPr>
        <w:t>al data, they must also provide performance information about the difference they make by operating, i.e. how they have achieved (or otherwise) their mission. Such reporting will also be required of larger charities from 2021 (</w:t>
      </w:r>
      <w:proofErr w:type="spellStart"/>
      <w:r w:rsidR="00D93FCE" w:rsidRPr="00D93FCE">
        <w:rPr>
          <w:rFonts w:ascii="Times New Roman" w:hAnsi="Times New Roman" w:cs="Times New Roman"/>
          <w:sz w:val="24"/>
          <w:szCs w:val="24"/>
        </w:rPr>
        <w:t>McConville</w:t>
      </w:r>
      <w:proofErr w:type="spellEnd"/>
      <w:r w:rsidR="00D93FCE" w:rsidRPr="00D93FCE">
        <w:rPr>
          <w:rFonts w:ascii="Times New Roman" w:hAnsi="Times New Roman" w:cs="Times New Roman"/>
          <w:sz w:val="24"/>
          <w:szCs w:val="24"/>
        </w:rPr>
        <w:t xml:space="preserve"> &amp; Cordery, 2018)</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p>
    <w:p w14:paraId="26C5461E" w14:textId="080BE4CA" w:rsidR="00AC328C" w:rsidRPr="0059716A" w:rsidRDefault="00E22DA8" w:rsidP="00D93FCE">
      <w:pPr>
        <w:spacing w:line="480" w:lineRule="auto"/>
        <w:jc w:val="center"/>
        <w:rPr>
          <w:rFonts w:ascii="Times New Roman" w:hAnsi="Times New Roman" w:cs="Times New Roman"/>
          <w:b/>
          <w:sz w:val="24"/>
          <w:szCs w:val="24"/>
        </w:rPr>
      </w:pPr>
      <w:r>
        <w:rPr>
          <w:rFonts w:ascii="Times New Roman" w:hAnsi="Times New Roman" w:cs="Times New Roman"/>
          <w:sz w:val="24"/>
          <w:szCs w:val="24"/>
        </w:rPr>
        <w:fldChar w:fldCharType="end"/>
      </w:r>
      <w:r w:rsidR="00E907C2" w:rsidRPr="0059716A">
        <w:rPr>
          <w:rFonts w:ascii="Times New Roman" w:hAnsi="Times New Roman" w:cs="Times New Roman"/>
          <w:b/>
          <w:sz w:val="24"/>
          <w:szCs w:val="24"/>
        </w:rPr>
        <w:t>Literature</w:t>
      </w:r>
    </w:p>
    <w:p w14:paraId="61E3FD7E" w14:textId="4D12C5ED"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Theoretical perspectives</w:t>
      </w:r>
    </w:p>
    <w:p w14:paraId="791FC649" w14:textId="46811A8A" w:rsidR="00A93D20"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Defining charity success and/or failure has proved problematic (Lecy et al., 2011). There are various conceptualisations of failure including resource reduction, market exit, and mortality (</w:t>
      </w:r>
      <w:proofErr w:type="spellStart"/>
      <w:r w:rsidRPr="0059716A">
        <w:rPr>
          <w:rFonts w:ascii="Times New Roman" w:hAnsi="Times New Roman" w:cs="Times New Roman"/>
          <w:sz w:val="24"/>
          <w:szCs w:val="24"/>
        </w:rPr>
        <w:t>Helmig</w:t>
      </w:r>
      <w:proofErr w:type="spellEnd"/>
      <w:r w:rsidRPr="0059716A">
        <w:rPr>
          <w:rFonts w:ascii="Times New Roman" w:hAnsi="Times New Roman" w:cs="Times New Roman"/>
          <w:sz w:val="24"/>
          <w:szCs w:val="24"/>
        </w:rPr>
        <w:t xml:space="preserve"> et al., 2014; (</w:t>
      </w:r>
      <w:proofErr w:type="spellStart"/>
      <w:r w:rsidRPr="0059716A">
        <w:rPr>
          <w:rFonts w:ascii="Times New Roman" w:hAnsi="Times New Roman" w:cs="Times New Roman"/>
          <w:sz w:val="24"/>
          <w:szCs w:val="24"/>
        </w:rPr>
        <w:t>Mellahi</w:t>
      </w:r>
      <w:proofErr w:type="spellEnd"/>
      <w:r w:rsidRPr="0059716A">
        <w:rPr>
          <w:rFonts w:ascii="Times New Roman" w:hAnsi="Times New Roman" w:cs="Times New Roman"/>
          <w:sz w:val="24"/>
          <w:szCs w:val="24"/>
        </w:rPr>
        <w:t xml:space="preserve"> &amp; Wilkinson, 2004). </w:t>
      </w:r>
      <w:r w:rsidR="008876C7" w:rsidRPr="0059716A">
        <w:rPr>
          <w:rFonts w:ascii="Times New Roman" w:hAnsi="Times New Roman" w:cs="Times New Roman"/>
          <w:sz w:val="24"/>
          <w:szCs w:val="24"/>
        </w:rPr>
        <w:t>However, many of these constructs contain inconsistencies and contradictions. For example, organisational dissolution may indicate success rather than failure in cases where the charity accomplished its mission (</w:t>
      </w:r>
      <w:proofErr w:type="spellStart"/>
      <w:r w:rsidR="008876C7" w:rsidRPr="0059716A">
        <w:rPr>
          <w:rFonts w:ascii="Times New Roman" w:hAnsi="Times New Roman" w:cs="Times New Roman"/>
          <w:sz w:val="24"/>
          <w:szCs w:val="24"/>
        </w:rPr>
        <w:t>Helmig</w:t>
      </w:r>
      <w:proofErr w:type="spellEnd"/>
      <w:r w:rsidR="008876C7" w:rsidRPr="0059716A">
        <w:rPr>
          <w:rFonts w:ascii="Times New Roman" w:hAnsi="Times New Roman" w:cs="Times New Roman"/>
          <w:sz w:val="24"/>
          <w:szCs w:val="24"/>
        </w:rPr>
        <w:t xml:space="preserve"> et al., 2014; see also Hager, </w:t>
      </w:r>
      <w:proofErr w:type="spellStart"/>
      <w:r w:rsidR="008876C7" w:rsidRPr="0059716A">
        <w:rPr>
          <w:rFonts w:ascii="Times New Roman" w:hAnsi="Times New Roman" w:cs="Times New Roman"/>
          <w:sz w:val="24"/>
          <w:szCs w:val="24"/>
        </w:rPr>
        <w:t>Galaskiewicz</w:t>
      </w:r>
      <w:proofErr w:type="spellEnd"/>
      <w:r w:rsidR="008876C7" w:rsidRPr="0059716A">
        <w:rPr>
          <w:rFonts w:ascii="Times New Roman" w:hAnsi="Times New Roman" w:cs="Times New Roman"/>
          <w:sz w:val="24"/>
          <w:szCs w:val="24"/>
        </w:rPr>
        <w:t xml:space="preserve">, Bielefeld &amp; Pins, 1996). </w:t>
      </w:r>
      <w:r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Pr="0059716A">
        <w:rPr>
          <w:rFonts w:ascii="Times New Roman" w:hAnsi="Times New Roman" w:cs="Times New Roman"/>
          <w:sz w:val="24"/>
          <w:szCs w:val="24"/>
        </w:rPr>
        <w:t xml:space="preserve"> poorly understood for a number of reasons (</w:t>
      </w:r>
      <w:proofErr w:type="spellStart"/>
      <w:r w:rsidRPr="0059716A">
        <w:rPr>
          <w:rFonts w:ascii="Times New Roman" w:hAnsi="Times New Roman" w:cs="Times New Roman"/>
          <w:sz w:val="24"/>
          <w:szCs w:val="24"/>
        </w:rPr>
        <w:t>Helmig</w:t>
      </w:r>
      <w:proofErr w:type="spellEnd"/>
      <w:r w:rsidRPr="0059716A">
        <w:rPr>
          <w:rFonts w:ascii="Times New Roman" w:hAnsi="Times New Roman" w:cs="Times New Roman"/>
          <w:sz w:val="24"/>
          <w:szCs w:val="24"/>
        </w:rPr>
        <w:t xml:space="preserve"> et al., 2014). Extant studies have focused on a limited number of subsectors such as Social Service organisations (</w:t>
      </w:r>
      <w:proofErr w:type="spellStart"/>
      <w:r w:rsidRPr="0059716A">
        <w:rPr>
          <w:rFonts w:ascii="Times New Roman" w:hAnsi="Times New Roman" w:cs="Times New Roman"/>
          <w:sz w:val="24"/>
          <w:szCs w:val="24"/>
        </w:rPr>
        <w:t>Helmig</w:t>
      </w:r>
      <w:proofErr w:type="spellEnd"/>
      <w:r w:rsidRPr="0059716A">
        <w:rPr>
          <w:rFonts w:ascii="Times New Roman" w:hAnsi="Times New Roman" w:cs="Times New Roman"/>
          <w:sz w:val="24"/>
          <w:szCs w:val="24"/>
        </w:rPr>
        <w:t xml:space="preserve"> et al., 2014); used observations from small regional study sites (e.g. </w:t>
      </w:r>
      <w:proofErr w:type="spellStart"/>
      <w:r w:rsidRPr="0059716A">
        <w:rPr>
          <w:rFonts w:ascii="Times New Roman" w:hAnsi="Times New Roman" w:cs="Times New Roman"/>
          <w:sz w:val="24"/>
          <w:szCs w:val="24"/>
        </w:rPr>
        <w:t>Wollebaek</w:t>
      </w:r>
      <w:proofErr w:type="spellEnd"/>
      <w:r w:rsidRPr="0059716A">
        <w:rPr>
          <w:rFonts w:ascii="Times New Roman" w:hAnsi="Times New Roman" w:cs="Times New Roman"/>
          <w:sz w:val="24"/>
          <w:szCs w:val="24"/>
        </w:rPr>
        <w:t xml:space="preserve">,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4CCF6F3D" w14:textId="19EFD0EF"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Empirical evidence</w:t>
      </w:r>
    </w:p>
    <w:p w14:paraId="5306D31B" w14:textId="494A2FAE" w:rsidR="006C3245"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By using detailed measures of charity dissolution recorded in large-scale regulatory datasets, this research project responds to the call for greater focus on mission accomplishment as an </w:t>
      </w:r>
      <w:r w:rsidRPr="0059716A">
        <w:rPr>
          <w:rFonts w:ascii="Times New Roman" w:hAnsi="Times New Roman" w:cs="Times New Roman"/>
          <w:sz w:val="24"/>
          <w:szCs w:val="24"/>
        </w:rPr>
        <w:lastRenderedPageBreak/>
        <w:t xml:space="preserve">outcome in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scholarship (</w:t>
      </w:r>
      <w:proofErr w:type="spellStart"/>
      <w:r w:rsidRPr="0059716A">
        <w:rPr>
          <w:rFonts w:ascii="Times New Roman" w:hAnsi="Times New Roman" w:cs="Times New Roman"/>
          <w:sz w:val="24"/>
          <w:szCs w:val="24"/>
        </w:rPr>
        <w:t>Helmig</w:t>
      </w:r>
      <w:proofErr w:type="spellEnd"/>
      <w:r w:rsidRPr="0059716A">
        <w:rPr>
          <w:rFonts w:ascii="Times New Roman" w:hAnsi="Times New Roman" w:cs="Times New Roman"/>
          <w:sz w:val="24"/>
          <w:szCs w:val="24"/>
        </w:rPr>
        <w:t xml:space="preserve">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Methodology</w:t>
      </w:r>
    </w:p>
    <w:p w14:paraId="1D0CE414" w14:textId="49FF46C7" w:rsidR="006C3245" w:rsidRPr="0059716A" w:rsidRDefault="00D30C05"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 </w:t>
      </w:r>
      <w:r w:rsidR="006C3245" w:rsidRPr="0059716A">
        <w:rPr>
          <w:rFonts w:ascii="Times New Roman" w:hAnsi="Times New Roman" w:cs="Times New Roman"/>
          <w:sz w:val="24"/>
          <w:szCs w:val="24"/>
        </w:rPr>
        <w:t>The project is guided by two research questions:</w:t>
      </w:r>
    </w:p>
    <w:p w14:paraId="12968DC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is the rate of charity dissolution, and does it vary across jurisdictions?</w:t>
      </w:r>
    </w:p>
    <w:p w14:paraId="34CA2C8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factors predict mission accomplishment, and do they vary across other forms of charity dissolution?</w:t>
      </w:r>
    </w:p>
    <w:p w14:paraId="4B1B7FC7" w14:textId="3BB27C6B"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w:t>
      </w:r>
      <w:r w:rsidR="00D93FCE">
        <w:rPr>
          <w:rFonts w:ascii="Times New Roman" w:hAnsi="Times New Roman" w:cs="Times New Roman"/>
          <w:sz w:val="24"/>
          <w:szCs w:val="24"/>
        </w:rPr>
        <w:t xml:space="preserve">an </w:t>
      </w:r>
      <w:r w:rsidRPr="0059716A">
        <w:rPr>
          <w:rFonts w:ascii="Times New Roman" w:hAnsi="Times New Roman" w:cs="Times New Roman"/>
          <w:sz w:val="24"/>
          <w:szCs w:val="24"/>
        </w:rPr>
        <w:t>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Data</w:t>
      </w:r>
    </w:p>
    <w:p w14:paraId="0E3F61DE" w14:textId="638FEF03" w:rsidR="00DC6689" w:rsidRDefault="0096349D"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To answer the research questions we construct a cross-sectional data set of registered charities by </w:t>
      </w:r>
      <w:r w:rsidR="0026237C">
        <w:rPr>
          <w:rFonts w:ascii="Times New Roman" w:hAnsi="Times New Roman" w:cs="Times New Roman"/>
          <w:sz w:val="24"/>
          <w:szCs w:val="24"/>
        </w:rPr>
        <w:t xml:space="preserve">downloading and </w:t>
      </w:r>
      <w:r w:rsidRPr="0059716A">
        <w:rPr>
          <w:rFonts w:ascii="Times New Roman" w:hAnsi="Times New Roman" w:cs="Times New Roman"/>
          <w:sz w:val="24"/>
          <w:szCs w:val="24"/>
        </w:rPr>
        <w:t xml:space="preserve">linking multiple regulatory data files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Pr="0059716A">
        <w:rPr>
          <w:rFonts w:ascii="Times New Roman" w:hAnsi="Times New Roman" w:cs="Times New Roman"/>
          <w:sz w:val="24"/>
          <w:szCs w:val="24"/>
        </w:rPr>
        <w:t xml:space="preserve"> First, our primary data source is the register of </w:t>
      </w:r>
      <w:r w:rsidRPr="0059716A">
        <w:rPr>
          <w:rFonts w:ascii="Times New Roman" w:hAnsi="Times New Roman" w:cs="Times New Roman"/>
          <w:sz w:val="24"/>
          <w:szCs w:val="24"/>
        </w:rPr>
        <w:lastRenderedPageBreak/>
        <w:t>charities, a census of all organisations that have at some point been registered with the New Zealand regulator as of 20</w:t>
      </w:r>
      <w:r w:rsidRPr="0059716A">
        <w:rPr>
          <w:rFonts w:ascii="Times New Roman" w:hAnsi="Times New Roman" w:cs="Times New Roman"/>
          <w:sz w:val="24"/>
          <w:szCs w:val="24"/>
          <w:vertAlign w:val="superscript"/>
        </w:rPr>
        <w:t>th</w:t>
      </w:r>
      <w:r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 xml:space="preserve"> (c. 37,000)</w:t>
      </w:r>
      <w:r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 xml:space="preserve">organisational type, street address </w:t>
      </w:r>
      <w:proofErr w:type="spellStart"/>
      <w:r w:rsidR="0082286F" w:rsidRPr="0059716A">
        <w:rPr>
          <w:rFonts w:ascii="Times New Roman" w:hAnsi="Times New Roman" w:cs="Times New Roman"/>
          <w:sz w:val="24"/>
          <w:szCs w:val="24"/>
        </w:rPr>
        <w:t>etc</w:t>
      </w:r>
      <w:proofErr w:type="spellEnd"/>
      <w:r w:rsidR="0082286F" w:rsidRPr="0059716A">
        <w:rPr>
          <w:rFonts w:ascii="Times New Roman" w:hAnsi="Times New Roman" w:cs="Times New Roman"/>
          <w:sz w:val="24"/>
          <w:szCs w:val="24"/>
        </w:rPr>
        <w:t xml:space="preserve"> (though no financial information beyond annual return due dates). Second, we link 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c. 190,000 returns over the period 2007-2019) and operationalise a number of measures of interest (e.g. average annual gross income), which are then linked to the primary data source via a chari</w:t>
      </w:r>
      <w:r w:rsidR="0054565C">
        <w:rPr>
          <w:rFonts w:ascii="Times New Roman" w:hAnsi="Times New Roman" w:cs="Times New Roman"/>
          <w:sz w:val="24"/>
          <w:szCs w:val="24"/>
        </w:rPr>
        <w:t>ty’ unique registration number.</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66B605B7"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 data. Finally, we drop observations for which there is missing or clearly erroneous data for the independent variables (e.g. negative annual gross income). The final sample is composed on </w:t>
      </w:r>
      <w:r w:rsidRPr="0059716A">
        <w:rPr>
          <w:rFonts w:ascii="Times New Roman" w:hAnsi="Times New Roman" w:cs="Times New Roman"/>
          <w:i/>
          <w:sz w:val="24"/>
          <w:szCs w:val="24"/>
        </w:rPr>
        <w:t xml:space="preserve">n </w:t>
      </w:r>
      <w:r w:rsidRPr="0059716A">
        <w:rPr>
          <w:rFonts w:ascii="Times New Roman" w:hAnsi="Times New Roman" w:cs="Times New Roman"/>
          <w:sz w:val="24"/>
          <w:szCs w:val="24"/>
        </w:rPr>
        <w:t>observations for the same number of charities – see table # in the appendices for full details of the sample building process.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185FC4C0" w14:textId="1CD3F7FD" w:rsidR="005C5DA0" w:rsidRPr="0059716A" w:rsidRDefault="006D084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Many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regulators have a mandate to construct and maintain an accurate, complete and public register of organisations that currently </w:t>
      </w:r>
      <w:r w:rsidR="00AA52E1" w:rsidRPr="0059716A">
        <w:rPr>
          <w:rFonts w:ascii="Times New Roman" w:hAnsi="Times New Roman" w:cs="Times New Roman"/>
          <w:sz w:val="24"/>
          <w:szCs w:val="24"/>
        </w:rPr>
        <w:t>possess</w:t>
      </w:r>
      <w:r w:rsidRPr="0059716A">
        <w:rPr>
          <w:rFonts w:ascii="Times New Roman" w:hAnsi="Times New Roman" w:cs="Times New Roman"/>
          <w:sz w:val="24"/>
          <w:szCs w:val="24"/>
        </w:rPr>
        <w:t xml:space="preserve"> charity status. In addi</w:t>
      </w:r>
      <w:r w:rsidR="00AA52E1" w:rsidRPr="0059716A">
        <w:rPr>
          <w:rFonts w:ascii="Times New Roman" w:hAnsi="Times New Roman" w:cs="Times New Roman"/>
          <w:sz w:val="24"/>
          <w:szCs w:val="24"/>
        </w:rPr>
        <w:t xml:space="preserve">tion these </w:t>
      </w:r>
      <w:r w:rsidR="00AA52E1" w:rsidRPr="0059716A">
        <w:rPr>
          <w:rFonts w:ascii="Times New Roman" w:hAnsi="Times New Roman" w:cs="Times New Roman"/>
          <w:sz w:val="24"/>
          <w:szCs w:val="24"/>
        </w:rPr>
        <w:lastRenderedPageBreak/>
        <w:t>regulators will</w:t>
      </w:r>
      <w:r w:rsidRPr="0059716A">
        <w:rPr>
          <w:rFonts w:ascii="Times New Roman" w:hAnsi="Times New Roman" w:cs="Times New Roman"/>
          <w:sz w:val="24"/>
          <w:szCs w:val="24"/>
        </w:rPr>
        <w:t xml:space="preserve"> retain, though sometimes not share, the list of organisations no longer registered as charities. There is considerable variation across jurisdictions in how charity deregistration is recorded: some regulators do not disaggregate between the different forms (</w:t>
      </w:r>
      <w:r w:rsidR="000620CB">
        <w:rPr>
          <w:rFonts w:ascii="Times New Roman" w:hAnsi="Times New Roman" w:cs="Times New Roman"/>
          <w:sz w:val="24"/>
          <w:szCs w:val="24"/>
        </w:rPr>
        <w:t xml:space="preserve">e.g. </w:t>
      </w:r>
      <w:r w:rsidRPr="0059716A">
        <w:rPr>
          <w:rFonts w:ascii="Times New Roman" w:hAnsi="Times New Roman" w:cs="Times New Roman"/>
          <w:sz w:val="24"/>
          <w:szCs w:val="24"/>
        </w:rPr>
        <w:t xml:space="preserve">Scotland, Republic of Ireland, </w:t>
      </w:r>
      <w:proofErr w:type="gramStart"/>
      <w:r w:rsidRPr="0059716A">
        <w:rPr>
          <w:rFonts w:ascii="Times New Roman" w:hAnsi="Times New Roman" w:cs="Times New Roman"/>
          <w:sz w:val="24"/>
          <w:szCs w:val="24"/>
        </w:rPr>
        <w:t>Northern</w:t>
      </w:r>
      <w:proofErr w:type="gramEnd"/>
      <w:r w:rsidRPr="0059716A">
        <w:rPr>
          <w:rFonts w:ascii="Times New Roman" w:hAnsi="Times New Roman" w:cs="Times New Roman"/>
          <w:sz w:val="24"/>
          <w:szCs w:val="24"/>
        </w:rPr>
        <w:t xml:space="preserve"> Ireland</w:t>
      </w:r>
      <w:r w:rsidR="00F724C8" w:rsidRPr="0059716A">
        <w:rPr>
          <w:rFonts w:ascii="Times New Roman" w:hAnsi="Times New Roman" w:cs="Times New Roman"/>
          <w:sz w:val="24"/>
          <w:szCs w:val="24"/>
        </w:rPr>
        <w:t>), while others differentiate at least to some degree (</w:t>
      </w:r>
      <w:r w:rsidR="000620CB">
        <w:rPr>
          <w:rFonts w:ascii="Times New Roman" w:hAnsi="Times New Roman" w:cs="Times New Roman"/>
          <w:sz w:val="24"/>
          <w:szCs w:val="24"/>
        </w:rPr>
        <w:t xml:space="preserve">e.g. </w:t>
      </w:r>
      <w:r w:rsidR="00F724C8" w:rsidRPr="0059716A">
        <w:rPr>
          <w:rFonts w:ascii="Times New Roman" w:hAnsi="Times New Roman" w:cs="Times New Roman"/>
          <w:sz w:val="24"/>
          <w:szCs w:val="24"/>
        </w:rPr>
        <w:t>England &amp; Wales, Canada, New Zealand, Australia).</w:t>
      </w:r>
      <w:r w:rsidRPr="0059716A">
        <w:rPr>
          <w:rFonts w:ascii="Times New Roman" w:hAnsi="Times New Roman" w:cs="Times New Roman"/>
          <w:sz w:val="24"/>
          <w:szCs w:val="24"/>
        </w:rPr>
        <w:t xml:space="preserve"> </w:t>
      </w:r>
    </w:p>
    <w:p w14:paraId="0CCD508B" w14:textId="70048900" w:rsidR="00A37E00" w:rsidRPr="000620CB" w:rsidRDefault="004737EF" w:rsidP="000620CB">
      <w:pPr>
        <w:spacing w:line="480" w:lineRule="auto"/>
        <w:rPr>
          <w:rFonts w:ascii="Times New Roman" w:hAnsi="Times New Roman" w:cs="Times New Roman"/>
          <w:sz w:val="24"/>
          <w:szCs w:val="24"/>
        </w:rPr>
      </w:pPr>
      <w:r>
        <w:rPr>
          <w:rFonts w:ascii="Times New Roman" w:hAnsi="Times New Roman" w:cs="Times New Roman"/>
          <w:sz w:val="24"/>
          <w:szCs w:val="24"/>
        </w:rPr>
        <w:t>For New Zealand, w</w:t>
      </w:r>
      <w:r w:rsidR="005C5DA0" w:rsidRPr="0059716A">
        <w:rPr>
          <w:rFonts w:ascii="Times New Roman" w:hAnsi="Times New Roman" w:cs="Times New Roman"/>
          <w:sz w:val="24"/>
          <w:szCs w:val="24"/>
        </w:rPr>
        <w:t xml:space="preserve">e consider a charity to be dissolved if it is no longer listed as registered with </w:t>
      </w:r>
      <w:r>
        <w:rPr>
          <w:rFonts w:ascii="Times New Roman" w:hAnsi="Times New Roman" w:cs="Times New Roman"/>
          <w:sz w:val="24"/>
          <w:szCs w:val="24"/>
        </w:rPr>
        <w:t xml:space="preserve">the </w:t>
      </w:r>
      <w:r w:rsidR="005C5DA0" w:rsidRPr="0059716A">
        <w:rPr>
          <w:rFonts w:ascii="Times New Roman" w:hAnsi="Times New Roman" w:cs="Times New Roman"/>
          <w:sz w:val="24"/>
          <w:szCs w:val="24"/>
        </w:rPr>
        <w:t xml:space="preserve">regulator: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the group of deregistered charities by reason for dissolution. To differentiate based on dissolution reason, we use regular expressions to extract the section of the Act a charity was deregistered under from the relevant field in the data </w:t>
      </w:r>
      <w:r>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 below describes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orgdiss</w:t>
            </w:r>
            <w:proofErr w:type="spellEnd"/>
            <w:r>
              <w:rPr>
                <w:rFonts w:ascii="Times New Roman" w:hAnsi="Times New Roman" w:cs="Times New Roman"/>
                <w:sz w:val="24"/>
                <w:szCs w:val="24"/>
              </w:rPr>
              <w:t>`</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08B1BBC7"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Note: there are other types of dissolution (e.g. mergers) that occur infrequently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612F074E" w:rsidR="004C231A" w:rsidRPr="002C34E3"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 the number of years a charity has been registered with the regulator (we are unable to tell when an organisation was founded).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is a categorical measure of a charity’s regulatory form: “standard”, “society or institution”, and “trustees of a trust” are the three valid values for this variable.</w:t>
      </w:r>
      <w:r w:rsidR="00A85E55">
        <w:rPr>
          <w:rFonts w:ascii="Times New Roman" w:hAnsi="Times New Roman" w:cs="Times New Roman"/>
          <w:sz w:val="24"/>
          <w:szCs w:val="24"/>
        </w:rPr>
        <w:t xml:space="preserve"> </w:t>
      </w:r>
      <w:r w:rsidR="00A85E55" w:rsidRPr="00A85E55">
        <w:rPr>
          <w:rFonts w:ascii="Times New Roman" w:hAnsi="Times New Roman" w:cs="Times New Roman"/>
          <w:sz w:val="24"/>
          <w:szCs w:val="24"/>
        </w:rPr>
        <w:t>Charities are not required to take any form of incorporation; those that do may be established as a Charitable Trust</w:t>
      </w:r>
      <w:r w:rsidR="009E4F8A">
        <w:rPr>
          <w:rFonts w:ascii="Times New Roman" w:hAnsi="Times New Roman" w:cs="Times New Roman"/>
          <w:sz w:val="24"/>
          <w:szCs w:val="24"/>
        </w:rPr>
        <w:t xml:space="preserve"> (registered under the Charitable Trusts Act 1956 either as an unincorporated charitable trust or incorporated as a Charitable Trust Board</w:t>
      </w:r>
      <w:r w:rsidR="00A43C25">
        <w:rPr>
          <w:rFonts w:ascii="Times New Roman" w:hAnsi="Times New Roman" w:cs="Times New Roman"/>
          <w:sz w:val="24"/>
          <w:szCs w:val="24"/>
        </w:rPr>
        <w:t>, accounting for c.</w:t>
      </w:r>
      <w:r w:rsidR="009E4F8A">
        <w:rPr>
          <w:rFonts w:ascii="Times New Roman" w:hAnsi="Times New Roman" w:cs="Times New Roman"/>
          <w:sz w:val="24"/>
          <w:szCs w:val="24"/>
        </w:rPr>
        <w:t xml:space="preserve"> 60%</w:t>
      </w:r>
      <w:r w:rsidR="00A43C25">
        <w:rPr>
          <w:rFonts w:ascii="Times New Roman" w:hAnsi="Times New Roman" w:cs="Times New Roman"/>
          <w:sz w:val="24"/>
          <w:szCs w:val="24"/>
        </w:rPr>
        <w:t xml:space="preserve"> of incorporated bodies</w:t>
      </w:r>
      <w:r w:rsidR="009E4F8A">
        <w:rPr>
          <w:rFonts w:ascii="Times New Roman" w:hAnsi="Times New Roman" w:cs="Times New Roman"/>
          <w:sz w:val="24"/>
          <w:szCs w:val="24"/>
        </w:rPr>
        <w:t>)</w:t>
      </w:r>
      <w:r w:rsidR="00A85E55" w:rsidRPr="00A85E55">
        <w:rPr>
          <w:rFonts w:ascii="Times New Roman" w:hAnsi="Times New Roman" w:cs="Times New Roman"/>
          <w:sz w:val="24"/>
          <w:szCs w:val="24"/>
        </w:rPr>
        <w:t>, Incorporated Society</w:t>
      </w:r>
      <w:r w:rsidR="009E4F8A">
        <w:rPr>
          <w:rFonts w:ascii="Times New Roman" w:hAnsi="Times New Roman" w:cs="Times New Roman"/>
          <w:sz w:val="24"/>
          <w:szCs w:val="24"/>
        </w:rPr>
        <w:t xml:space="preserve"> (registered under the Incorporated Societies’ Act 1908 – about 31%)</w:t>
      </w:r>
      <w:r w:rsidR="00A85E55" w:rsidRPr="00A85E55">
        <w:rPr>
          <w:rFonts w:ascii="Times New Roman" w:hAnsi="Times New Roman" w:cs="Times New Roman"/>
          <w:sz w:val="24"/>
          <w:szCs w:val="24"/>
        </w:rPr>
        <w:t xml:space="preserve">, </w:t>
      </w:r>
      <w:r w:rsidR="009E4F8A">
        <w:rPr>
          <w:rFonts w:ascii="Times New Roman" w:hAnsi="Times New Roman" w:cs="Times New Roman"/>
          <w:sz w:val="24"/>
          <w:szCs w:val="24"/>
        </w:rPr>
        <w:t xml:space="preserve">a </w:t>
      </w:r>
      <w:r w:rsidR="00A85E55" w:rsidRPr="00A85E55">
        <w:rPr>
          <w:rFonts w:ascii="Times New Roman" w:hAnsi="Times New Roman" w:cs="Times New Roman"/>
          <w:sz w:val="24"/>
          <w:szCs w:val="24"/>
        </w:rPr>
        <w:t xml:space="preserve">Limited Liability Company </w:t>
      </w:r>
      <w:r w:rsidR="009E4F8A">
        <w:rPr>
          <w:rFonts w:ascii="Times New Roman" w:hAnsi="Times New Roman" w:cs="Times New Roman"/>
          <w:sz w:val="24"/>
          <w:szCs w:val="24"/>
        </w:rPr>
        <w:t xml:space="preserve">(registered under the Companies Act 2013 or its precursors about 1%), </w:t>
      </w:r>
      <w:r w:rsidR="00A85E55" w:rsidRPr="00A85E55">
        <w:rPr>
          <w:rFonts w:ascii="Times New Roman" w:hAnsi="Times New Roman" w:cs="Times New Roman"/>
          <w:sz w:val="24"/>
          <w:szCs w:val="24"/>
        </w:rPr>
        <w:t>or by a specific Act of Parliament.</w:t>
      </w:r>
      <w:r w:rsidR="00E5560D">
        <w:rPr>
          <w:rFonts w:ascii="Times New Roman" w:hAnsi="Times New Roman" w:cs="Times New Roman"/>
          <w:sz w:val="24"/>
          <w:szCs w:val="24"/>
        </w:rPr>
        <w:t xml:space="preserve"> </w:t>
      </w:r>
      <w:r w:rsidR="009E4F8A">
        <w:rPr>
          <w:rFonts w:ascii="Times New Roman" w:hAnsi="Times New Roman" w:cs="Times New Roman"/>
          <w:sz w:val="24"/>
          <w:szCs w:val="24"/>
        </w:rPr>
        <w:t xml:space="preserve">The incorporated bodies enjoy limited liability, with </w:t>
      </w:r>
      <w:r w:rsidR="009E4F8A" w:rsidRPr="009E4F8A">
        <w:rPr>
          <w:rFonts w:ascii="Times New Roman" w:hAnsi="Times New Roman" w:cs="Times New Roman"/>
          <w:sz w:val="24"/>
          <w:szCs w:val="24"/>
        </w:rPr>
        <w:t xml:space="preserve">incorporated societies </w:t>
      </w:r>
      <w:r w:rsidR="009E4F8A">
        <w:rPr>
          <w:rFonts w:ascii="Times New Roman" w:hAnsi="Times New Roman" w:cs="Times New Roman"/>
          <w:sz w:val="24"/>
          <w:szCs w:val="24"/>
        </w:rPr>
        <w:t xml:space="preserve">being required to have minimum </w:t>
      </w:r>
      <w:r w:rsidR="009E4F8A" w:rsidRPr="009E4F8A">
        <w:rPr>
          <w:rFonts w:ascii="Times New Roman" w:hAnsi="Times New Roman" w:cs="Times New Roman"/>
          <w:sz w:val="24"/>
          <w:szCs w:val="24"/>
        </w:rPr>
        <w:t xml:space="preserve">membership </w:t>
      </w:r>
      <w:r w:rsidR="009E4F8A">
        <w:rPr>
          <w:rFonts w:ascii="Times New Roman" w:hAnsi="Times New Roman" w:cs="Times New Roman"/>
          <w:sz w:val="24"/>
          <w:szCs w:val="24"/>
        </w:rPr>
        <w:t>before incorporation, while trustees of unincorporated trusts are personally liable for any debts or contracts that such bodies could enter into (Crawford et al., 2014).</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6A8C36A5"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We draw on two core theories – population ecology and resource </w:t>
      </w:r>
      <w:r>
        <w:rPr>
          <w:rFonts w:ascii="Times New Roman" w:hAnsi="Times New Roman" w:cs="Times New Roman"/>
          <w:sz w:val="24"/>
          <w:szCs w:val="24"/>
        </w:rPr>
        <w:lastRenderedPageBreak/>
        <w:t xml:space="preserve">dependence – as well as prior empirical work to develop our theoretical framework. </w:t>
      </w:r>
      <w:r w:rsidR="00950756">
        <w:rPr>
          <w:rFonts w:ascii="Times New Roman" w:hAnsi="Times New Roman" w:cs="Times New Roman"/>
          <w:sz w:val="24"/>
          <w:szCs w:val="24"/>
        </w:rPr>
        <w:t>We use this framework to operationalise eleven explanatory variables – see t</w:t>
      </w:r>
      <w:r>
        <w:rPr>
          <w:rFonts w:ascii="Times New Roman" w:hAnsi="Times New Roman" w:cs="Times New Roman"/>
          <w:sz w:val="24"/>
          <w:szCs w:val="24"/>
        </w:rPr>
        <w:t xml:space="preserve">able # </w:t>
      </w:r>
      <w:r w:rsidR="00950756">
        <w:rPr>
          <w:rFonts w:ascii="Times New Roman" w:hAnsi="Times New Roman" w:cs="Times New Roman"/>
          <w:sz w:val="24"/>
          <w:szCs w:val="24"/>
        </w:rPr>
        <w:t>for how these</w:t>
      </w:r>
      <w:r>
        <w:rPr>
          <w:rFonts w:ascii="Times New Roman" w:hAnsi="Times New Roman" w:cs="Times New Roman"/>
          <w:sz w:val="24"/>
          <w:szCs w:val="24"/>
        </w:rPr>
        <w:t xml:space="preserve"> </w:t>
      </w:r>
      <w:r w:rsidR="00950756">
        <w:rPr>
          <w:rFonts w:ascii="Times New Roman" w:hAnsi="Times New Roman" w:cs="Times New Roman"/>
          <w:sz w:val="24"/>
          <w:szCs w:val="24"/>
        </w:rPr>
        <w:t>variables map to the</w:t>
      </w:r>
      <w:r>
        <w:rPr>
          <w:rFonts w:ascii="Times New Roman" w:hAnsi="Times New Roman" w:cs="Times New Roman"/>
          <w:sz w:val="24"/>
          <w:szCs w:val="24"/>
        </w:rPr>
        <w:t xml:space="preserve"> </w:t>
      </w:r>
      <w:r w:rsidR="00950756">
        <w:rPr>
          <w:rFonts w:ascii="Times New Roman" w:hAnsi="Times New Roman" w:cs="Times New Roman"/>
          <w:sz w:val="24"/>
          <w:szCs w:val="24"/>
        </w:rPr>
        <w:t>theoretical</w:t>
      </w:r>
      <w:r>
        <w:rPr>
          <w:rFonts w:ascii="Times New Roman" w:hAnsi="Times New Roman" w:cs="Times New Roman"/>
          <w:sz w:val="24"/>
          <w:szCs w:val="24"/>
        </w:rPr>
        <w:t xml:space="preserve"> framework.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w:t>
      </w:r>
      <w:r w:rsidR="00DE4362">
        <w:rPr>
          <w:rFonts w:ascii="Times New Roman" w:hAnsi="Times New Roman" w:cs="Times New Roman"/>
          <w:sz w:val="24"/>
          <w:szCs w:val="24"/>
        </w:rPr>
        <w:t xml:space="preserve">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DE4362">
        <w:rPr>
          <w:rFonts w:ascii="Times New Roman" w:hAnsi="Times New Roman" w:cs="Times New Roman"/>
          <w:sz w:val="24"/>
          <w:szCs w:val="24"/>
        </w:rPr>
        <w:t xml:space="preserve">main economic sector,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648D59AF"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08DC35D9" w:rsidR="00523A6D" w:rsidRPr="00523A6D" w:rsidRDefault="00523A6D"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030A7078" wp14:editId="1788933B">
            <wp:extent cx="5731510" cy="4168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z_cunum_orgdiss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t>Statistical Modelling</w:t>
      </w:r>
    </w:p>
    <w:p w14:paraId="65223298" w14:textId="59CF9294" w:rsidR="00883E38" w:rsidRDefault="00B55D2D"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the results of the regression analyses, Table # contains descriptive statistics for the independent variables included in the models. </w:t>
      </w:r>
      <w:r w:rsidRPr="002B6782">
        <w:rPr>
          <w:rFonts w:ascii="Times New Roman" w:hAnsi="Times New Roman" w:cs="Times New Roman"/>
          <w:sz w:val="24"/>
          <w:szCs w:val="24"/>
        </w:rPr>
        <w:t xml:space="preserve">The presence of </w:t>
      </w:r>
      <w:proofErr w:type="spellStart"/>
      <w:r w:rsidRPr="002B6782">
        <w:rPr>
          <w:rFonts w:ascii="Times New Roman" w:hAnsi="Times New Roman" w:cs="Times New Roman"/>
          <w:sz w:val="24"/>
          <w:szCs w:val="24"/>
        </w:rPr>
        <w:t>multicollinearity</w:t>
      </w:r>
      <w:proofErr w:type="spellEnd"/>
      <w:r w:rsidRPr="002B6782">
        <w:rPr>
          <w:rFonts w:ascii="Times New Roman" w:hAnsi="Times New Roman" w:cs="Times New Roman"/>
          <w:sz w:val="24"/>
          <w:szCs w:val="24"/>
        </w:rPr>
        <w:t xml:space="preserve"> among the independent variables in the model was examined by calculating the variance inflation</w:t>
      </w:r>
      <w:r w:rsidR="00997C8B">
        <w:rPr>
          <w:rFonts w:ascii="Times New Roman" w:hAnsi="Times New Roman" w:cs="Times New Roman"/>
          <w:sz w:val="24"/>
          <w:szCs w:val="24"/>
        </w:rPr>
        <w:t xml:space="preserve"> factors (VIF): mean VIF is 1.14</w:t>
      </w:r>
      <w:r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Pr="002B6782">
        <w:rPr>
          <w:rFonts w:ascii="Times New Roman" w:hAnsi="Times New Roman" w:cs="Times New Roman"/>
          <w:sz w:val="24"/>
          <w:szCs w:val="24"/>
        </w:rPr>
        <w:t xml:space="preserve">, below the threshold at which Allison (1999) suggests </w:t>
      </w:r>
      <w:proofErr w:type="spellStart"/>
      <w:r w:rsidRPr="002B6782">
        <w:rPr>
          <w:rFonts w:ascii="Times New Roman" w:hAnsi="Times New Roman" w:cs="Times New Roman"/>
          <w:sz w:val="24"/>
          <w:szCs w:val="24"/>
        </w:rPr>
        <w:t>multicollinearity</w:t>
      </w:r>
      <w:proofErr w:type="spellEnd"/>
      <w:r w:rsidRPr="002B6782">
        <w:rPr>
          <w:rFonts w:ascii="Times New Roman" w:hAnsi="Times New Roman" w:cs="Times New Roman"/>
          <w:sz w:val="24"/>
          <w:szCs w:val="24"/>
        </w:rPr>
        <w:t xml:space="preserve"> is problematic. </w:t>
      </w:r>
      <w:r>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Pr>
          <w:rFonts w:ascii="Times New Roman" w:hAnsi="Times New Roman" w:cs="Times New Roman"/>
          <w:sz w:val="24"/>
          <w:szCs w:val="24"/>
        </w:rPr>
        <w:t>2016).</w:t>
      </w:r>
    </w:p>
    <w:p w14:paraId="0AED8C0D" w14:textId="6904D4C9" w:rsidR="00EE0A76" w:rsidRDefault="00C53521" w:rsidP="00C53521">
      <w:pPr>
        <w:spacing w:line="480" w:lineRule="auto"/>
        <w:rPr>
          <w:rFonts w:ascii="Times New Roman" w:hAnsi="Times New Roman" w:cs="Times New Roman"/>
          <w:b/>
          <w:sz w:val="24"/>
          <w:szCs w:val="24"/>
        </w:rPr>
      </w:pPr>
      <w:r>
        <w:rPr>
          <w:rFonts w:ascii="Times New Roman" w:hAnsi="Times New Roman" w:cs="Times New Roman"/>
          <w:sz w:val="24"/>
          <w:szCs w:val="24"/>
        </w:rPr>
        <w:t xml:space="preserve">Table # below reports the results of the logistic regression on whether a charity is dissolved or not. </w:t>
      </w:r>
      <w:r w:rsidR="00C02F32">
        <w:rPr>
          <w:rFonts w:ascii="Times New Roman" w:hAnsi="Times New Roman" w:cs="Times New Roman"/>
          <w:sz w:val="24"/>
          <w:szCs w:val="24"/>
        </w:rPr>
        <w:t>W</w:t>
      </w:r>
      <w:r>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w:t>
      </w:r>
      <w:r>
        <w:rPr>
          <w:rFonts w:ascii="Times New Roman" w:hAnsi="Times New Roman" w:cs="Times New Roman"/>
          <w:sz w:val="24"/>
          <w:szCs w:val="24"/>
        </w:rPr>
        <w:lastRenderedPageBreak/>
        <w:t xml:space="preserve">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083596F9" w:rsidR="00EE0A76" w:rsidRPr="00EE0A76" w:rsidRDefault="00EE0A76" w:rsidP="00EE0A76">
      <w:pPr>
        <w:spacing w:line="480" w:lineRule="auto"/>
        <w:rPr>
          <w:rFonts w:ascii="Times New Roman" w:hAnsi="Times New Roman" w:cs="Times New Roman"/>
          <w:sz w:val="24"/>
          <w:szCs w:val="24"/>
        </w:rPr>
      </w:pPr>
      <w:r w:rsidRPr="00EE0A76">
        <w:rPr>
          <w:rFonts w:ascii="Times New Roman" w:hAnsi="Times New Roman" w:cs="Times New Roman"/>
          <w:b/>
          <w:sz w:val="24"/>
          <w:szCs w:val="24"/>
        </w:rPr>
        <w:t>Table #.</w:t>
      </w:r>
      <w:r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42EB13C7" w14:textId="77777777" w:rsidTr="00A85E55">
        <w:trPr>
          <w:trHeight w:val="227"/>
        </w:trPr>
        <w:tc>
          <w:tcPr>
            <w:tcW w:w="1492" w:type="pct"/>
            <w:tcBorders>
              <w:top w:val="nil"/>
              <w:left w:val="nil"/>
              <w:bottom w:val="nil"/>
              <w:right w:val="nil"/>
            </w:tcBorders>
          </w:tcPr>
          <w:p w14:paraId="65C44FC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3735B573"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227ED80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732DA9C"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74F990D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536D08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55B12823" w14:textId="77777777" w:rsidTr="00A85E55">
        <w:trPr>
          <w:trHeight w:val="227"/>
        </w:trPr>
        <w:tc>
          <w:tcPr>
            <w:tcW w:w="1492" w:type="pct"/>
            <w:tcBorders>
              <w:top w:val="nil"/>
              <w:left w:val="nil"/>
              <w:bottom w:val="nil"/>
              <w:right w:val="nil"/>
            </w:tcBorders>
          </w:tcPr>
          <w:p w14:paraId="4F62845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17D0A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0508B01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3958F35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247B5FC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2C15A6E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5CE00C39" w14:textId="77777777" w:rsidTr="00A85E55">
        <w:trPr>
          <w:trHeight w:val="227"/>
        </w:trPr>
        <w:tc>
          <w:tcPr>
            <w:tcW w:w="1492" w:type="pct"/>
            <w:tcBorders>
              <w:top w:val="nil"/>
              <w:left w:val="nil"/>
              <w:bottom w:val="nil"/>
              <w:right w:val="nil"/>
            </w:tcBorders>
          </w:tcPr>
          <w:p w14:paraId="085DAB5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0C8326A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1E6E02A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7D676B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396A9C4"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45FB831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0.18</w:t>
            </w:r>
          </w:p>
        </w:tc>
      </w:tr>
      <w:tr w:rsidR="00EE0A76" w:rsidRPr="004E5BE2" w14:paraId="34650438" w14:textId="77777777" w:rsidTr="00A85E55">
        <w:trPr>
          <w:trHeight w:val="227"/>
        </w:trPr>
        <w:tc>
          <w:tcPr>
            <w:tcW w:w="1492" w:type="pct"/>
            <w:tcBorders>
              <w:top w:val="nil"/>
              <w:left w:val="nil"/>
              <w:bottom w:val="nil"/>
              <w:right w:val="nil"/>
            </w:tcBorders>
          </w:tcPr>
          <w:p w14:paraId="1A41D9E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B5020D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C07E5D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560942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3C5A0FA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6617A6C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0.20</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E0A76" w:rsidRPr="004E5BE2" w14:paraId="5D5A0431" w14:textId="77777777" w:rsidTr="00A85E55">
        <w:trPr>
          <w:trHeight w:val="227"/>
        </w:trPr>
        <w:tc>
          <w:tcPr>
            <w:tcW w:w="1492" w:type="pct"/>
            <w:tcBorders>
              <w:top w:val="nil"/>
              <w:left w:val="nil"/>
              <w:bottom w:val="nil"/>
              <w:right w:val="nil"/>
            </w:tcBorders>
          </w:tcPr>
          <w:p w14:paraId="16C1735B" w14:textId="77777777" w:rsidR="00EE0A76" w:rsidRPr="004E5BE2" w:rsidRDefault="00EE0A76" w:rsidP="00A85E55">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lastRenderedPageBreak/>
              <w:t>n</w:t>
            </w:r>
          </w:p>
        </w:tc>
        <w:tc>
          <w:tcPr>
            <w:tcW w:w="1256" w:type="pct"/>
            <w:tcBorders>
              <w:top w:val="nil"/>
              <w:left w:val="nil"/>
              <w:bottom w:val="nil"/>
              <w:right w:val="nil"/>
            </w:tcBorders>
          </w:tcPr>
          <w:p w14:paraId="16731898"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30,656</w:t>
            </w:r>
          </w:p>
        </w:tc>
        <w:tc>
          <w:tcPr>
            <w:tcW w:w="549" w:type="pct"/>
            <w:tcBorders>
              <w:top w:val="nil"/>
              <w:left w:val="nil"/>
              <w:bottom w:val="nil"/>
              <w:right w:val="nil"/>
            </w:tcBorders>
          </w:tcPr>
          <w:p w14:paraId="3B1495A8"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roofErr w:type="spellStart"/>
            <w:r w:rsidRPr="004E5BE2">
              <w:rPr>
                <w:rFonts w:ascii="Times New Roman" w:hAnsi="Times New Roman" w:cs="Times New Roman"/>
              </w:rPr>
              <w:t>McKelvey</w:t>
            </w:r>
            <w:proofErr w:type="spellEnd"/>
            <w:r w:rsidRPr="004E5BE2">
              <w:rPr>
                <w:rFonts w:ascii="Times New Roman" w:hAnsi="Times New Roman" w:cs="Times New Roman"/>
              </w:rPr>
              <w:t xml:space="preserve"> and </w:t>
            </w:r>
            <w:proofErr w:type="spellStart"/>
            <w:r w:rsidRPr="004E5BE2">
              <w:rPr>
                <w:rFonts w:ascii="Times New Roman" w:hAnsi="Times New Roman" w:cs="Times New Roman"/>
              </w:rPr>
              <w:t>Zavoina’s</w:t>
            </w:r>
            <w:proofErr w:type="spellEnd"/>
            <w:r w:rsidRPr="004E5BE2">
              <w:rPr>
                <w:rFonts w:ascii="Times New Roman" w:hAnsi="Times New Roman" w:cs="Times New Roman"/>
              </w:rPr>
              <w:t xml:space="preserve">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roofErr w:type="spellStart"/>
            <w:r w:rsidRPr="004E5BE2">
              <w:rPr>
                <w:rFonts w:ascii="Times New Roman" w:hAnsi="Times New Roman" w:cs="Times New Roman"/>
              </w:rPr>
              <w:t>Cragg</w:t>
            </w:r>
            <w:proofErr w:type="spellEnd"/>
            <w:r w:rsidRPr="004E5BE2">
              <w:rPr>
                <w:rFonts w:ascii="Times New Roman" w:hAnsi="Times New Roman" w:cs="Times New Roman"/>
              </w:rPr>
              <w:t xml:space="preserve"> and </w:t>
            </w:r>
            <w:proofErr w:type="spellStart"/>
            <w:r w:rsidRPr="004E5BE2">
              <w:rPr>
                <w:rFonts w:ascii="Times New Roman" w:hAnsi="Times New Roman" w:cs="Times New Roman"/>
              </w:rPr>
              <w:t>Uhler’s</w:t>
            </w:r>
            <w:proofErr w:type="spellEnd"/>
            <w:r w:rsidRPr="004E5BE2">
              <w:rPr>
                <w:rFonts w:ascii="Times New Roman" w:hAnsi="Times New Roman" w:cs="Times New Roman"/>
              </w:rPr>
              <w:t xml:space="preserve">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bl>
    <w:p w14:paraId="7761D0B8" w14:textId="77FDCA7F" w:rsidR="00523A6D" w:rsidRPr="00001DA0" w:rsidRDefault="00EE0A76" w:rsidP="00001DA0">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099F5DA5" w14:textId="08FDC842"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r w:rsidR="00001DA0">
        <w:rPr>
          <w:rFonts w:ascii="Times New Roman" w:hAnsi="Times New Roman" w:cs="Times New Roman"/>
          <w:sz w:val="24"/>
          <w:szCs w:val="24"/>
        </w:rPr>
        <w:t xml:space="preserve"> Figure 2 and Table 3 present the results of the multinomial regression. There is clear variation in the magnitude, and often sign, of the predictors across categories of dissolution. For example, the coefficient for operating internationally is positive for the outcome of voluntary removal, negative for the outcome of failure to file, and statistically significantly indistinguishable from zero for the outcome of winding up. Contrast this with the coefficient for this variable in the logistic regression model, which estimates a negligible effect for the outcome of </w:t>
      </w:r>
      <w:r w:rsidR="000F2EA4">
        <w:rPr>
          <w:rFonts w:ascii="Times New Roman" w:hAnsi="Times New Roman" w:cs="Times New Roman"/>
          <w:sz w:val="24"/>
          <w:szCs w:val="24"/>
        </w:rPr>
        <w:t>deregistration</w:t>
      </w:r>
      <w:r w:rsidR="00001DA0">
        <w:rPr>
          <w:rFonts w:ascii="Times New Roman" w:hAnsi="Times New Roman" w:cs="Times New Roman"/>
          <w:sz w:val="24"/>
          <w:szCs w:val="24"/>
        </w:rPr>
        <w:t>.</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0EE4009" w14:textId="77777777" w:rsidR="00E904EC" w:rsidRPr="004E5BE2" w:rsidRDefault="00E904EC" w:rsidP="00E904EC">
      <w:pPr>
        <w:spacing w:line="480" w:lineRule="auto"/>
        <w:rPr>
          <w:rFonts w:ascii="Times New Roman" w:hAnsi="Times New Roman" w:cs="Times New Roman"/>
        </w:rPr>
      </w:pPr>
      <w:r w:rsidRPr="004E5BE2">
        <w:rPr>
          <w:rFonts w:ascii="Times New Roman" w:hAnsi="Times New Roman" w:cs="Times New Roman"/>
          <w:b/>
        </w:rPr>
        <w:t>Table #.</w:t>
      </w:r>
      <w:r w:rsidRPr="004E5BE2">
        <w:rPr>
          <w:rFonts w:ascii="Times New Roman" w:hAnsi="Times New Roman" w:cs="Times New Roman"/>
        </w:rPr>
        <w:t xml:space="preserve"> Results of </w:t>
      </w:r>
      <w:r>
        <w:rPr>
          <w:rFonts w:ascii="Times New Roman" w:hAnsi="Times New Roman" w:cs="Times New Roman"/>
        </w:rPr>
        <w:t>Multinomial</w:t>
      </w:r>
      <w:r w:rsidRPr="004E5BE2">
        <w:rPr>
          <w:rFonts w:ascii="Times New Roman" w:hAnsi="Times New Roman" w:cs="Times New Roman"/>
        </w:rPr>
        <w:t xml:space="preserve"> Regression on Outcome of D</w:t>
      </w:r>
      <w:r>
        <w:rPr>
          <w:rFonts w:ascii="Times New Roman" w:hAnsi="Times New Roman" w:cs="Times New Roman"/>
        </w:rPr>
        <w:t>issolution Type</w:t>
      </w:r>
    </w:p>
    <w:tbl>
      <w:tblPr>
        <w:tblW w:w="5000" w:type="pct"/>
        <w:tblCellMar>
          <w:left w:w="75" w:type="dxa"/>
          <w:right w:w="75" w:type="dxa"/>
        </w:tblCellMar>
        <w:tblLook w:val="0000" w:firstRow="0" w:lastRow="0" w:firstColumn="0" w:lastColumn="0" w:noHBand="0" w:noVBand="0"/>
      </w:tblPr>
      <w:tblGrid>
        <w:gridCol w:w="1913"/>
        <w:gridCol w:w="1549"/>
        <w:gridCol w:w="904"/>
        <w:gridCol w:w="906"/>
        <w:gridCol w:w="173"/>
        <w:gridCol w:w="865"/>
        <w:gridCol w:w="797"/>
        <w:gridCol w:w="156"/>
        <w:gridCol w:w="905"/>
        <w:gridCol w:w="858"/>
      </w:tblGrid>
      <w:tr w:rsidR="00E904EC" w:rsidRPr="00420412" w14:paraId="4262B02F" w14:textId="77777777" w:rsidTr="00A85E55">
        <w:trPr>
          <w:trHeight w:val="227"/>
        </w:trPr>
        <w:tc>
          <w:tcPr>
            <w:tcW w:w="1066"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15"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102"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04"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61"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88"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A85E55">
        <w:trPr>
          <w:trHeight w:val="227"/>
        </w:trPr>
        <w:tc>
          <w:tcPr>
            <w:tcW w:w="1066"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8"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102"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7"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61"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81"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A85E55">
        <w:trPr>
          <w:trHeight w:val="227"/>
        </w:trPr>
        <w:tc>
          <w:tcPr>
            <w:tcW w:w="1066"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64"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A85E55">
        <w:trPr>
          <w:trHeight w:val="227"/>
        </w:trPr>
        <w:tc>
          <w:tcPr>
            <w:tcW w:w="1066"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64"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8"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7"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81"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A85E55">
        <w:trPr>
          <w:trHeight w:val="227"/>
        </w:trPr>
        <w:tc>
          <w:tcPr>
            <w:tcW w:w="1066"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64"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8"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7"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81"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A85E55">
        <w:trPr>
          <w:trHeight w:val="227"/>
        </w:trPr>
        <w:tc>
          <w:tcPr>
            <w:tcW w:w="1066"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64"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A85E55">
        <w:trPr>
          <w:trHeight w:val="227"/>
        </w:trPr>
        <w:tc>
          <w:tcPr>
            <w:tcW w:w="1066"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7"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A85E55">
        <w:trPr>
          <w:trHeight w:val="227"/>
        </w:trPr>
        <w:tc>
          <w:tcPr>
            <w:tcW w:w="1066"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7"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8"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7"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81"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A85E55">
        <w:trPr>
          <w:trHeight w:val="227"/>
        </w:trPr>
        <w:tc>
          <w:tcPr>
            <w:tcW w:w="1066"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7"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8"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7"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81"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A85E55">
        <w:trPr>
          <w:trHeight w:val="227"/>
        </w:trPr>
        <w:tc>
          <w:tcPr>
            <w:tcW w:w="1066"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64"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8"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81"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A85E55">
        <w:trPr>
          <w:trHeight w:val="227"/>
        </w:trPr>
        <w:tc>
          <w:tcPr>
            <w:tcW w:w="1066"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lastRenderedPageBreak/>
              <w:t xml:space="preserve">     CYP</w:t>
            </w:r>
          </w:p>
        </w:tc>
        <w:tc>
          <w:tcPr>
            <w:tcW w:w="864"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8"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7"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81"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162ACE00" w14:textId="77777777" w:rsidTr="00A85E55">
        <w:trPr>
          <w:trHeight w:val="227"/>
        </w:trPr>
        <w:tc>
          <w:tcPr>
            <w:tcW w:w="1066" w:type="pct"/>
            <w:tcBorders>
              <w:top w:val="nil"/>
              <w:left w:val="nil"/>
              <w:bottom w:val="nil"/>
              <w:right w:val="nil"/>
            </w:tcBorders>
          </w:tcPr>
          <w:p w14:paraId="4406EB06"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64" w:type="pct"/>
            <w:tcBorders>
              <w:top w:val="nil"/>
              <w:left w:val="nil"/>
              <w:bottom w:val="nil"/>
              <w:right w:val="nil"/>
            </w:tcBorders>
          </w:tcPr>
          <w:p w14:paraId="587318F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290FEF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F9217A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2A25E4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6A077FE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CC22D3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004D533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17E8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5EF5C8F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7F613F64" w14:textId="77777777" w:rsidTr="00A85E55">
        <w:trPr>
          <w:trHeight w:val="227"/>
        </w:trPr>
        <w:tc>
          <w:tcPr>
            <w:tcW w:w="1066" w:type="pct"/>
            <w:tcBorders>
              <w:top w:val="nil"/>
              <w:left w:val="nil"/>
              <w:bottom w:val="nil"/>
              <w:right w:val="nil"/>
            </w:tcBorders>
          </w:tcPr>
          <w:p w14:paraId="032D809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3A9CE63"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7" w:type="pct"/>
            <w:tcBorders>
              <w:top w:val="nil"/>
              <w:left w:val="nil"/>
              <w:bottom w:val="nil"/>
              <w:right w:val="nil"/>
            </w:tcBorders>
          </w:tcPr>
          <w:p w14:paraId="245F56A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788D09D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55BFA0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85444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1A9A242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266AA2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F80F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3E69E4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0994D75C" w14:textId="77777777" w:rsidTr="00A85E55">
        <w:trPr>
          <w:trHeight w:val="227"/>
        </w:trPr>
        <w:tc>
          <w:tcPr>
            <w:tcW w:w="1066" w:type="pct"/>
            <w:tcBorders>
              <w:top w:val="nil"/>
              <w:left w:val="nil"/>
              <w:bottom w:val="nil"/>
              <w:right w:val="nil"/>
            </w:tcBorders>
          </w:tcPr>
          <w:p w14:paraId="50C9E021"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6BA8351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7" w:type="pct"/>
            <w:tcBorders>
              <w:top w:val="nil"/>
              <w:left w:val="nil"/>
              <w:bottom w:val="nil"/>
              <w:right w:val="nil"/>
            </w:tcBorders>
          </w:tcPr>
          <w:p w14:paraId="2F0AA5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681C4E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7B6C4F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0537885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47" w:type="pct"/>
            <w:tcBorders>
              <w:top w:val="nil"/>
              <w:left w:val="nil"/>
              <w:bottom w:val="nil"/>
              <w:right w:val="nil"/>
            </w:tcBorders>
          </w:tcPr>
          <w:p w14:paraId="3E75412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c>
          <w:tcPr>
            <w:tcW w:w="61" w:type="pct"/>
            <w:tcBorders>
              <w:top w:val="nil"/>
              <w:left w:val="nil"/>
              <w:bottom w:val="nil"/>
              <w:right w:val="nil"/>
            </w:tcBorders>
          </w:tcPr>
          <w:p w14:paraId="335131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CECE3F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81" w:type="pct"/>
            <w:tcBorders>
              <w:top w:val="nil"/>
              <w:left w:val="nil"/>
              <w:bottom w:val="nil"/>
              <w:right w:val="nil"/>
            </w:tcBorders>
          </w:tcPr>
          <w:p w14:paraId="36F254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019B70D4" w14:textId="77777777" w:rsidTr="00A85E55">
        <w:trPr>
          <w:trHeight w:val="227"/>
        </w:trPr>
        <w:tc>
          <w:tcPr>
            <w:tcW w:w="1066" w:type="pct"/>
            <w:tcBorders>
              <w:top w:val="nil"/>
              <w:left w:val="nil"/>
              <w:bottom w:val="nil"/>
              <w:right w:val="nil"/>
            </w:tcBorders>
          </w:tcPr>
          <w:p w14:paraId="2E16AC0E"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6D36170"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7" w:type="pct"/>
            <w:tcBorders>
              <w:top w:val="nil"/>
              <w:left w:val="nil"/>
              <w:bottom w:val="nil"/>
              <w:right w:val="nil"/>
            </w:tcBorders>
          </w:tcPr>
          <w:p w14:paraId="664DE30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508" w:type="pct"/>
            <w:tcBorders>
              <w:top w:val="nil"/>
              <w:left w:val="nil"/>
              <w:bottom w:val="nil"/>
              <w:right w:val="nil"/>
            </w:tcBorders>
          </w:tcPr>
          <w:p w14:paraId="550C29A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102" w:type="pct"/>
            <w:tcBorders>
              <w:top w:val="nil"/>
              <w:left w:val="nil"/>
              <w:bottom w:val="nil"/>
              <w:right w:val="nil"/>
            </w:tcBorders>
          </w:tcPr>
          <w:p w14:paraId="4EA629B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79BCAC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0.38*</w:t>
            </w:r>
          </w:p>
        </w:tc>
        <w:tc>
          <w:tcPr>
            <w:tcW w:w="447" w:type="pct"/>
            <w:tcBorders>
              <w:top w:val="nil"/>
              <w:left w:val="nil"/>
              <w:bottom w:val="nil"/>
              <w:right w:val="nil"/>
            </w:tcBorders>
          </w:tcPr>
          <w:p w14:paraId="0EBEA74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0.15</w:t>
            </w:r>
          </w:p>
        </w:tc>
        <w:tc>
          <w:tcPr>
            <w:tcW w:w="61" w:type="pct"/>
            <w:tcBorders>
              <w:top w:val="nil"/>
              <w:left w:val="nil"/>
              <w:bottom w:val="nil"/>
              <w:right w:val="nil"/>
            </w:tcBorders>
          </w:tcPr>
          <w:p w14:paraId="432351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CFDD3B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0.03</w:t>
            </w:r>
          </w:p>
        </w:tc>
        <w:tc>
          <w:tcPr>
            <w:tcW w:w="481" w:type="pct"/>
            <w:tcBorders>
              <w:top w:val="nil"/>
              <w:left w:val="nil"/>
              <w:bottom w:val="nil"/>
              <w:right w:val="nil"/>
            </w:tcBorders>
          </w:tcPr>
          <w:p w14:paraId="70AEEBD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r>
      <w:tr w:rsidR="00E904EC" w:rsidRPr="00420412" w14:paraId="2BFD87E1" w14:textId="77777777" w:rsidTr="00A85E55">
        <w:trPr>
          <w:trHeight w:val="227"/>
        </w:trPr>
        <w:tc>
          <w:tcPr>
            <w:tcW w:w="1066"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64"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A85E55">
        <w:trPr>
          <w:trHeight w:val="227"/>
        </w:trPr>
        <w:tc>
          <w:tcPr>
            <w:tcW w:w="1066"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64"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7"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81"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A85E55">
        <w:trPr>
          <w:trHeight w:val="227"/>
        </w:trPr>
        <w:tc>
          <w:tcPr>
            <w:tcW w:w="1066"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64"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8"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102"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61"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81"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A85E55">
        <w:trPr>
          <w:trHeight w:val="227"/>
        </w:trPr>
        <w:tc>
          <w:tcPr>
            <w:tcW w:w="1066"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64"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A85E55">
        <w:trPr>
          <w:trHeight w:val="227"/>
        </w:trPr>
        <w:tc>
          <w:tcPr>
            <w:tcW w:w="1066"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64"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8"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A85E55">
        <w:trPr>
          <w:trHeight w:val="227"/>
        </w:trPr>
        <w:tc>
          <w:tcPr>
            <w:tcW w:w="1066"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64"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8"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A85E55">
        <w:trPr>
          <w:trHeight w:val="227"/>
        </w:trPr>
        <w:tc>
          <w:tcPr>
            <w:tcW w:w="1066"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64"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8"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7"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61"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81"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4E078EF6" w14:textId="77777777" w:rsidTr="00A85E55">
        <w:trPr>
          <w:trHeight w:val="227"/>
        </w:trPr>
        <w:tc>
          <w:tcPr>
            <w:tcW w:w="1066" w:type="pct"/>
            <w:tcBorders>
              <w:top w:val="nil"/>
              <w:left w:val="nil"/>
              <w:bottom w:val="nil"/>
              <w:right w:val="nil"/>
            </w:tcBorders>
          </w:tcPr>
          <w:p w14:paraId="4D9FBEF7" w14:textId="77777777" w:rsidR="00E904EC" w:rsidRPr="00420412" w:rsidRDefault="00E904EC" w:rsidP="00A85E55">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64" w:type="pct"/>
            <w:tcBorders>
              <w:top w:val="nil"/>
              <w:left w:val="nil"/>
              <w:bottom w:val="nil"/>
              <w:right w:val="nil"/>
            </w:tcBorders>
          </w:tcPr>
          <w:p w14:paraId="046DE8B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8680C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30,355</w:t>
            </w:r>
          </w:p>
        </w:tc>
      </w:tr>
      <w:tr w:rsidR="00E904EC" w:rsidRPr="00420412" w14:paraId="22E6AC2A" w14:textId="77777777" w:rsidTr="00A85E55">
        <w:tblPrEx>
          <w:tblBorders>
            <w:bottom w:val="single" w:sz="6" w:space="0" w:color="auto"/>
          </w:tblBorders>
        </w:tblPrEx>
        <w:trPr>
          <w:trHeight w:val="227"/>
        </w:trPr>
        <w:tc>
          <w:tcPr>
            <w:tcW w:w="1066" w:type="pct"/>
            <w:tcBorders>
              <w:top w:val="nil"/>
              <w:left w:val="nil"/>
              <w:bottom w:val="nil"/>
              <w:right w:val="nil"/>
            </w:tcBorders>
          </w:tcPr>
          <w:p w14:paraId="13045B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2934E35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6D02E3B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E904EC" w:rsidRPr="00420412" w14:paraId="10D8D58D" w14:textId="77777777" w:rsidTr="00A85E55">
        <w:tblPrEx>
          <w:tblBorders>
            <w:bottom w:val="single" w:sz="6" w:space="0" w:color="auto"/>
          </w:tblBorders>
        </w:tblPrEx>
        <w:trPr>
          <w:trHeight w:val="227"/>
        </w:trPr>
        <w:tc>
          <w:tcPr>
            <w:tcW w:w="1066" w:type="pct"/>
            <w:tcBorders>
              <w:top w:val="nil"/>
              <w:left w:val="nil"/>
              <w:bottom w:val="nil"/>
              <w:right w:val="nil"/>
            </w:tcBorders>
          </w:tcPr>
          <w:p w14:paraId="0667823B"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4BFBC309"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1476138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E904EC" w:rsidRPr="00420412" w14:paraId="1B6CCF24" w14:textId="77777777" w:rsidTr="00A85E55">
        <w:tblPrEx>
          <w:tblBorders>
            <w:bottom w:val="single" w:sz="6" w:space="0" w:color="auto"/>
          </w:tblBorders>
        </w:tblPrEx>
        <w:trPr>
          <w:trHeight w:val="227"/>
        </w:trPr>
        <w:tc>
          <w:tcPr>
            <w:tcW w:w="1066" w:type="pct"/>
            <w:tcBorders>
              <w:top w:val="nil"/>
              <w:left w:val="nil"/>
              <w:bottom w:val="nil"/>
              <w:right w:val="nil"/>
            </w:tcBorders>
          </w:tcPr>
          <w:p w14:paraId="6985471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roofErr w:type="spellStart"/>
            <w:r w:rsidRPr="00420412">
              <w:rPr>
                <w:rFonts w:ascii="Times New Roman" w:hAnsi="Times New Roman" w:cs="Times New Roman"/>
              </w:rPr>
              <w:t>Cragg</w:t>
            </w:r>
            <w:proofErr w:type="spellEnd"/>
            <w:r w:rsidRPr="00420412">
              <w:rPr>
                <w:rFonts w:ascii="Times New Roman" w:hAnsi="Times New Roman" w:cs="Times New Roman"/>
              </w:rPr>
              <w:t xml:space="preserve"> and </w:t>
            </w:r>
            <w:proofErr w:type="spellStart"/>
            <w:r w:rsidRPr="00420412">
              <w:rPr>
                <w:rFonts w:ascii="Times New Roman" w:hAnsi="Times New Roman" w:cs="Times New Roman"/>
              </w:rPr>
              <w:t>Uhler’s</w:t>
            </w:r>
            <w:proofErr w:type="spellEnd"/>
            <w:r w:rsidRPr="00420412">
              <w:rPr>
                <w:rFonts w:ascii="Times New Roman" w:hAnsi="Times New Roman" w:cs="Times New Roman"/>
              </w:rPr>
              <w:t xml:space="preserve">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3904C7B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6DD40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E904EC" w:rsidRPr="00420412" w14:paraId="28248853" w14:textId="77777777" w:rsidTr="00A85E55">
        <w:tblPrEx>
          <w:tblBorders>
            <w:bottom w:val="single" w:sz="6" w:space="0" w:color="auto"/>
          </w:tblBorders>
        </w:tblPrEx>
        <w:trPr>
          <w:trHeight w:val="227"/>
        </w:trPr>
        <w:tc>
          <w:tcPr>
            <w:tcW w:w="1066" w:type="pct"/>
            <w:tcBorders>
              <w:top w:val="nil"/>
              <w:left w:val="nil"/>
              <w:bottom w:val="single" w:sz="4" w:space="0" w:color="auto"/>
              <w:right w:val="nil"/>
            </w:tcBorders>
          </w:tcPr>
          <w:p w14:paraId="3853587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64" w:type="pct"/>
            <w:tcBorders>
              <w:top w:val="nil"/>
              <w:left w:val="nil"/>
              <w:bottom w:val="single" w:sz="4" w:space="0" w:color="auto"/>
              <w:right w:val="nil"/>
            </w:tcBorders>
          </w:tcPr>
          <w:p w14:paraId="7074C20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single" w:sz="4" w:space="0" w:color="auto"/>
              <w:right w:val="nil"/>
            </w:tcBorders>
          </w:tcPr>
          <w:p w14:paraId="4A43DA8F"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D6A55AF" w14:textId="1C8EB2F8" w:rsidR="00E904EC" w:rsidRPr="0059716A" w:rsidRDefault="00E904EC" w:rsidP="0059716A">
      <w:pPr>
        <w:spacing w:line="480" w:lineRule="auto"/>
        <w:rPr>
          <w:rFonts w:ascii="Times New Roman" w:hAnsi="Times New Roman" w:cs="Times New Roman"/>
          <w:sz w:val="24"/>
          <w:szCs w:val="24"/>
        </w:rPr>
      </w:pPr>
      <w:r w:rsidRPr="004E5BE2">
        <w:rPr>
          <w:rFonts w:ascii="Times New Roman" w:hAnsi="Times New Roman" w:cs="Times New Roman"/>
        </w:rPr>
        <w:t xml:space="preserve">Note: </w:t>
      </w:r>
      <w:r>
        <w:rPr>
          <w:rFonts w:ascii="Times New Roman" w:hAnsi="Times New Roman" w:cs="Times New Roman"/>
        </w:rPr>
        <w:t>[</w:t>
      </w:r>
      <w:r w:rsidRPr="004E5BE2">
        <w:rPr>
          <w:rFonts w:ascii="Times New Roman" w:hAnsi="Times New Roman" w:cs="Times New Roman"/>
        </w:rPr>
        <w:t>Explain each of the variables.</w:t>
      </w:r>
      <w:r>
        <w:rPr>
          <w:rFonts w:ascii="Times New Roman" w:hAnsi="Times New Roman" w:cs="Times New Roman"/>
        </w:rPr>
        <w:t>]</w:t>
      </w:r>
      <w:r w:rsidRPr="004E5BE2">
        <w:rPr>
          <w:rFonts w:ascii="Times New Roman" w:hAnsi="Times New Roman" w:cs="Times New Roman"/>
        </w:rPr>
        <w:t xml:space="preserve"> [Style this on CITM and density papers]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6BFBCE0D" w14:textId="6BDDE7AD" w:rsidR="00B73859" w:rsidRPr="0059716A" w:rsidRDefault="000A31B7" w:rsidP="005971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r w:rsidR="00521EBB" w:rsidRPr="0059716A">
        <w:rPr>
          <w:rFonts w:ascii="Times New Roman" w:hAnsi="Times New Roman" w:cs="Times New Roman"/>
          <w:b/>
          <w:sz w:val="24"/>
          <w:szCs w:val="24"/>
        </w:rPr>
        <w:t xml:space="preserve">. </w:t>
      </w:r>
      <w:r w:rsidR="006604F3" w:rsidRPr="0059716A">
        <w:rPr>
          <w:rFonts w:ascii="Times New Roman" w:hAnsi="Times New Roman" w:cs="Times New Roman"/>
          <w:b/>
          <w:sz w:val="24"/>
          <w:szCs w:val="24"/>
        </w:rPr>
        <w:t>Conclusion</w:t>
      </w:r>
    </w:p>
    <w:p w14:paraId="26E1091E" w14:textId="4E2A6A75" w:rsidR="00A337E8" w:rsidRPr="0059716A" w:rsidRDefault="006604F3" w:rsidP="0059716A">
      <w:pPr>
        <w:spacing w:line="480" w:lineRule="auto"/>
        <w:rPr>
          <w:rFonts w:ascii="Times New Roman" w:hAnsi="Times New Roman" w:cs="Times New Roman"/>
          <w:sz w:val="24"/>
          <w:szCs w:val="24"/>
        </w:rPr>
        <w:sectPr w:rsidR="00A337E8" w:rsidRPr="0059716A" w:rsidSect="00AC328C">
          <w:footerReference w:type="default" r:id="rId10"/>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 xml:space="preserve">This paper summarises emerging work on leveraging large-scale regulatory data to answer important research questions in the field of </w:t>
      </w:r>
      <w:proofErr w:type="spellStart"/>
      <w:r w:rsidRPr="0059716A">
        <w:rPr>
          <w:rFonts w:ascii="Times New Roman" w:hAnsi="Times New Roman" w:cs="Times New Roman"/>
          <w:sz w:val="24"/>
          <w:szCs w:val="24"/>
        </w:rPr>
        <w:t>nonprofit</w:t>
      </w:r>
      <w:proofErr w:type="spellEnd"/>
      <w:r w:rsidRPr="0059716A">
        <w:rPr>
          <w:rFonts w:ascii="Times New Roman" w:hAnsi="Times New Roman" w:cs="Times New Roman"/>
          <w:sz w:val="24"/>
          <w:szCs w:val="24"/>
        </w:rPr>
        <w:t xml:space="preserve">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w:t>
      </w:r>
      <w:r w:rsidRPr="0059716A">
        <w:rPr>
          <w:rFonts w:ascii="Times New Roman" w:hAnsi="Times New Roman" w:cs="Times New Roman"/>
          <w:sz w:val="24"/>
          <w:szCs w:val="24"/>
        </w:rPr>
        <w:lastRenderedPageBreak/>
        <w:t>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 xml:space="preserve">The impetus behind this research project, </w:t>
      </w:r>
      <w:proofErr w:type="spellStart"/>
      <w:r w:rsidR="00927B89" w:rsidRPr="0059716A">
        <w:rPr>
          <w:rFonts w:ascii="Times New Roman" w:hAnsi="Times New Roman" w:cs="Times New Roman"/>
          <w:sz w:val="24"/>
          <w:szCs w:val="24"/>
        </w:rPr>
        <w:t>outwith</w:t>
      </w:r>
      <w:proofErr w:type="spellEnd"/>
      <w:r w:rsidR="00927B89" w:rsidRPr="0059716A">
        <w:rPr>
          <w:rFonts w:ascii="Times New Roman" w:hAnsi="Times New Roman" w:cs="Times New Roman"/>
          <w:sz w:val="24"/>
          <w:szCs w:val="24"/>
        </w:rPr>
        <w:t xml:space="preserve"> the substantive validity of the topic and research questions, is to address some of these barriers by providing reproducible, well-documented </w:t>
      </w:r>
      <w:r w:rsidR="00600ECC">
        <w:rPr>
          <w:rFonts w:ascii="Times New Roman" w:hAnsi="Times New Roman" w:cs="Times New Roman"/>
          <w:sz w:val="24"/>
          <w:szCs w:val="24"/>
        </w:rPr>
        <w:t xml:space="preserve">and publicly available </w:t>
      </w:r>
      <w:r w:rsidR="00927B89" w:rsidRPr="0059716A">
        <w:rPr>
          <w:rFonts w:ascii="Times New Roman" w:hAnsi="Times New Roman" w:cs="Times New Roman"/>
          <w:sz w:val="24"/>
          <w:szCs w:val="24"/>
        </w:rPr>
        <w:t>syntax files that enable other researchers to generate their own datasets for analysis.</w:t>
      </w:r>
    </w:p>
    <w:p w14:paraId="09A29A6E" w14:textId="1D9C4DFF"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73B428CC"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Pr="0059716A">
        <w:rPr>
          <w:rStyle w:val="FootnoteReference"/>
          <w:rFonts w:ascii="Times New Roman" w:hAnsi="Times New Roman" w:cs="Times New Roman"/>
          <w:sz w:val="24"/>
          <w:szCs w:val="24"/>
        </w:rPr>
        <w:footnoteReference w:id="1"/>
      </w:r>
      <w:r w:rsidRPr="0059716A">
        <w:rPr>
          <w:rFonts w:ascii="Times New Roman" w:hAnsi="Times New Roman" w:cs="Times New Roman"/>
          <w:sz w:val="24"/>
          <w:szCs w:val="24"/>
        </w:rPr>
        <w:t xml:space="preserve">  The service is intended for use by software developers looking to create applications based on regulatory data; however, we have found the basic and advanced search functions the regulator provides through its website unreliable (e.g. search requests often time-out) and time consuming. The open data service is housed in a Microsoft stack that is accessed via the OData Protocol, and users can write code in multiple languages to interact with the Protocol (e.g. Python, PHP, </w:t>
      </w:r>
      <w:proofErr w:type="gramStart"/>
      <w:r w:rsidRPr="0059716A">
        <w:rPr>
          <w:rFonts w:ascii="Times New Roman" w:hAnsi="Times New Roman" w:cs="Times New Roman"/>
          <w:sz w:val="24"/>
          <w:szCs w:val="24"/>
        </w:rPr>
        <w:t>Java</w:t>
      </w:r>
      <w:proofErr w:type="gramEnd"/>
      <w:r w:rsidRPr="0059716A">
        <w:rPr>
          <w:rFonts w:ascii="Times New Roman" w:hAnsi="Times New Roman" w:cs="Times New Roman"/>
          <w:sz w:val="24"/>
          <w:szCs w:val="24"/>
        </w:rPr>
        <w:t xml:space="preserve">). Charities Services OData end point can be reached at </w:t>
      </w:r>
      <w:hyperlink r:id="rId11"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 Table A3 in the appendices to understand the contents of each dataset.</w:t>
      </w:r>
      <w:r w:rsidRPr="0059716A">
        <w:rPr>
          <w:rStyle w:val="FootnoteReference"/>
          <w:rFonts w:ascii="Times New Roman" w:hAnsi="Times New Roman" w:cs="Times New Roman"/>
          <w:sz w:val="24"/>
          <w:szCs w:val="24"/>
        </w:rPr>
        <w:footnoteReference w:id="2"/>
      </w:r>
      <w:r w:rsidRPr="0059716A">
        <w:rPr>
          <w:rFonts w:ascii="Times New Roman" w:hAnsi="Times New Roman" w:cs="Times New Roman"/>
          <w:sz w:val="24"/>
          <w:szCs w:val="24"/>
        </w:rPr>
        <w:t xml:space="preserve">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AnnualReturns</w:t>
            </w:r>
            <w:proofErr w:type="spellEnd"/>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AreaOfOperations</w:t>
            </w:r>
            <w:proofErr w:type="spellEnd"/>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 xml:space="preserve">Reference </w:t>
            </w:r>
            <w:r w:rsidRPr="0059716A">
              <w:rPr>
                <w:rFonts w:ascii="Times New Roman" w:hAnsi="Times New Roman" w:cs="Times New Roman"/>
                <w:sz w:val="24"/>
                <w:szCs w:val="24"/>
              </w:rPr>
              <w:lastRenderedPageBreak/>
              <w:t>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Lookup reference for codes used to identify the </w:t>
            </w:r>
            <w:r w:rsidRPr="0059716A">
              <w:rPr>
                <w:rFonts w:ascii="Times New Roman" w:hAnsi="Times New Roman" w:cs="Times New Roman"/>
                <w:sz w:val="24"/>
                <w:szCs w:val="24"/>
              </w:rPr>
              <w:lastRenderedPageBreak/>
              <w:t>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GrpOrgAllReturns</w:t>
            </w:r>
            <w:proofErr w:type="spellEnd"/>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GrpOrgLatestReturns</w:t>
            </w:r>
            <w:proofErr w:type="spellEnd"/>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SourceOfFunds</w:t>
            </w:r>
            <w:proofErr w:type="spellEnd"/>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vOfficerOrganisations</w:t>
            </w:r>
            <w:proofErr w:type="spellEnd"/>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proofErr w:type="spellStart"/>
            <w:r w:rsidRPr="0059716A">
              <w:rPr>
                <w:rFonts w:ascii="Times New Roman" w:hAnsi="Times New Roman" w:cs="Times New Roman"/>
                <w:sz w:val="24"/>
                <w:szCs w:val="24"/>
              </w:rPr>
              <w:t>vOrganisations</w:t>
            </w:r>
            <w:proofErr w:type="spellEnd"/>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 xml:space="preserve">field is our own judgement. As a result we are still unsure how </w:t>
      </w:r>
      <w:r w:rsidRPr="0059716A">
        <w:rPr>
          <w:rFonts w:ascii="Times New Roman" w:hAnsi="Times New Roman" w:cs="Times New Roman"/>
          <w:sz w:val="24"/>
          <w:szCs w:val="24"/>
        </w:rPr>
        <w:lastRenderedPageBreak/>
        <w:t>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2"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2E2F626C" w14:textId="77777777"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Final Sample</w:t>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78083" w14:textId="77777777" w:rsidR="00AD7360" w:rsidRDefault="00AD7360" w:rsidP="00AC328C">
      <w:pPr>
        <w:spacing w:after="0" w:line="240" w:lineRule="auto"/>
      </w:pPr>
      <w:r>
        <w:separator/>
      </w:r>
    </w:p>
  </w:endnote>
  <w:endnote w:type="continuationSeparator" w:id="0">
    <w:p w14:paraId="41A889F8" w14:textId="77777777" w:rsidR="00AD7360" w:rsidRDefault="00AD7360"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74A2596C" w:rsidR="00A43C25" w:rsidRPr="00F01EEF" w:rsidRDefault="00A43C25"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0700AD">
          <w:rPr>
            <w:rFonts w:ascii="Times New Roman" w:hAnsi="Times New Roman" w:cs="Times New Roman"/>
            <w:noProof/>
          </w:rPr>
          <w:t>18</w:t>
        </w:r>
        <w:r w:rsidRPr="00F01EEF">
          <w:rPr>
            <w:rFonts w:ascii="Times New Roman" w:hAnsi="Times New Roman" w:cs="Times New Roman"/>
            <w:noProof/>
          </w:rPr>
          <w:fldChar w:fldCharType="end"/>
        </w:r>
      </w:p>
    </w:sdtContent>
  </w:sdt>
  <w:p w14:paraId="615E7A4B" w14:textId="77777777" w:rsidR="00A43C25" w:rsidRPr="00F01EEF" w:rsidRDefault="00A43C25"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0AD6C" w14:textId="77777777" w:rsidR="00AD7360" w:rsidRDefault="00AD7360" w:rsidP="00AC328C">
      <w:pPr>
        <w:spacing w:after="0" w:line="240" w:lineRule="auto"/>
      </w:pPr>
      <w:r>
        <w:separator/>
      </w:r>
    </w:p>
  </w:footnote>
  <w:footnote w:type="continuationSeparator" w:id="0">
    <w:p w14:paraId="11C7A071" w14:textId="77777777" w:rsidR="00AD7360" w:rsidRDefault="00AD7360" w:rsidP="00AC328C">
      <w:pPr>
        <w:spacing w:after="0" w:line="240" w:lineRule="auto"/>
      </w:pPr>
      <w:r>
        <w:continuationSeparator/>
      </w:r>
    </w:p>
  </w:footnote>
  <w:footnote w:id="1">
    <w:p w14:paraId="0D4CC0A1" w14:textId="77777777" w:rsidR="00A43C25" w:rsidRDefault="00A43C25" w:rsidP="003762EB">
      <w:pPr>
        <w:pStyle w:val="FootnoteText"/>
      </w:pPr>
      <w:r>
        <w:rPr>
          <w:rStyle w:val="FootnoteReference"/>
        </w:rPr>
        <w:footnoteRef/>
      </w:r>
      <w:r>
        <w:t xml:space="preserve"> An API is a form of online database that users can query and access data from using http requests.</w:t>
      </w:r>
    </w:p>
  </w:footnote>
  <w:footnote w:id="2">
    <w:p w14:paraId="54868D72" w14:textId="4E95524A" w:rsidR="00A43C25" w:rsidRDefault="00A43C25" w:rsidP="003762EB">
      <w:pPr>
        <w:pStyle w:val="FootnoteText"/>
        <w:spacing w:line="36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01DA0"/>
    <w:rsid w:val="000120B2"/>
    <w:rsid w:val="00052E06"/>
    <w:rsid w:val="00054991"/>
    <w:rsid w:val="000620CB"/>
    <w:rsid w:val="000700AD"/>
    <w:rsid w:val="00075997"/>
    <w:rsid w:val="00083215"/>
    <w:rsid w:val="00090789"/>
    <w:rsid w:val="000A31B7"/>
    <w:rsid w:val="000B125A"/>
    <w:rsid w:val="000B2856"/>
    <w:rsid w:val="000B5359"/>
    <w:rsid w:val="000C48AA"/>
    <w:rsid w:val="000D2DEC"/>
    <w:rsid w:val="000F2EA4"/>
    <w:rsid w:val="000F2FE2"/>
    <w:rsid w:val="00102B9F"/>
    <w:rsid w:val="00106294"/>
    <w:rsid w:val="001115C8"/>
    <w:rsid w:val="0011795B"/>
    <w:rsid w:val="00122CCD"/>
    <w:rsid w:val="001377BA"/>
    <w:rsid w:val="00156483"/>
    <w:rsid w:val="00166DB8"/>
    <w:rsid w:val="001841EA"/>
    <w:rsid w:val="001851AC"/>
    <w:rsid w:val="001A025C"/>
    <w:rsid w:val="001B16C4"/>
    <w:rsid w:val="001B66AC"/>
    <w:rsid w:val="001D1F1C"/>
    <w:rsid w:val="001D3007"/>
    <w:rsid w:val="001F4F03"/>
    <w:rsid w:val="0020391B"/>
    <w:rsid w:val="00213C1B"/>
    <w:rsid w:val="0026237C"/>
    <w:rsid w:val="00286607"/>
    <w:rsid w:val="002867BD"/>
    <w:rsid w:val="002B71B0"/>
    <w:rsid w:val="002C11E1"/>
    <w:rsid w:val="002C34E3"/>
    <w:rsid w:val="002C7C0D"/>
    <w:rsid w:val="002E2D5A"/>
    <w:rsid w:val="002F681E"/>
    <w:rsid w:val="00305380"/>
    <w:rsid w:val="00320249"/>
    <w:rsid w:val="0034475F"/>
    <w:rsid w:val="003762EB"/>
    <w:rsid w:val="003874BF"/>
    <w:rsid w:val="00395416"/>
    <w:rsid w:val="003964E5"/>
    <w:rsid w:val="003D2697"/>
    <w:rsid w:val="003E033E"/>
    <w:rsid w:val="003F2B97"/>
    <w:rsid w:val="003F32CA"/>
    <w:rsid w:val="003F7BFA"/>
    <w:rsid w:val="00401A25"/>
    <w:rsid w:val="00411539"/>
    <w:rsid w:val="004227A4"/>
    <w:rsid w:val="00422D35"/>
    <w:rsid w:val="0042686B"/>
    <w:rsid w:val="004359FD"/>
    <w:rsid w:val="004602AF"/>
    <w:rsid w:val="004737EF"/>
    <w:rsid w:val="004953A4"/>
    <w:rsid w:val="00496AF1"/>
    <w:rsid w:val="004B13E1"/>
    <w:rsid w:val="004C231A"/>
    <w:rsid w:val="00514F06"/>
    <w:rsid w:val="0052029A"/>
    <w:rsid w:val="00521EBB"/>
    <w:rsid w:val="00523A6D"/>
    <w:rsid w:val="0054565C"/>
    <w:rsid w:val="00557F25"/>
    <w:rsid w:val="00567AA9"/>
    <w:rsid w:val="005747DD"/>
    <w:rsid w:val="00575B8F"/>
    <w:rsid w:val="00581068"/>
    <w:rsid w:val="00583AE7"/>
    <w:rsid w:val="0059716A"/>
    <w:rsid w:val="005A3025"/>
    <w:rsid w:val="005A393E"/>
    <w:rsid w:val="005C1770"/>
    <w:rsid w:val="005C5DA0"/>
    <w:rsid w:val="005F36C9"/>
    <w:rsid w:val="00600ECC"/>
    <w:rsid w:val="00606D5C"/>
    <w:rsid w:val="0064214F"/>
    <w:rsid w:val="006604F3"/>
    <w:rsid w:val="00662E82"/>
    <w:rsid w:val="006644B4"/>
    <w:rsid w:val="006728FA"/>
    <w:rsid w:val="0069231F"/>
    <w:rsid w:val="006A4B28"/>
    <w:rsid w:val="006A6A7F"/>
    <w:rsid w:val="006B0A00"/>
    <w:rsid w:val="006B2E40"/>
    <w:rsid w:val="006C14D8"/>
    <w:rsid w:val="006C2462"/>
    <w:rsid w:val="006C3245"/>
    <w:rsid w:val="006C3666"/>
    <w:rsid w:val="006C4472"/>
    <w:rsid w:val="006D0843"/>
    <w:rsid w:val="00722536"/>
    <w:rsid w:val="007326EF"/>
    <w:rsid w:val="00742403"/>
    <w:rsid w:val="00772FD5"/>
    <w:rsid w:val="00780887"/>
    <w:rsid w:val="007907FD"/>
    <w:rsid w:val="007C609B"/>
    <w:rsid w:val="0082286F"/>
    <w:rsid w:val="00853CEB"/>
    <w:rsid w:val="00853D8A"/>
    <w:rsid w:val="00883E38"/>
    <w:rsid w:val="00886388"/>
    <w:rsid w:val="008876C7"/>
    <w:rsid w:val="008A71C1"/>
    <w:rsid w:val="008A7DAC"/>
    <w:rsid w:val="008B716A"/>
    <w:rsid w:val="008C013B"/>
    <w:rsid w:val="008C49BD"/>
    <w:rsid w:val="008C5B43"/>
    <w:rsid w:val="008D64DD"/>
    <w:rsid w:val="008E3214"/>
    <w:rsid w:val="008F3223"/>
    <w:rsid w:val="008F4B50"/>
    <w:rsid w:val="00900590"/>
    <w:rsid w:val="009265D3"/>
    <w:rsid w:val="00927B89"/>
    <w:rsid w:val="00935CD4"/>
    <w:rsid w:val="0094558C"/>
    <w:rsid w:val="00946572"/>
    <w:rsid w:val="00950756"/>
    <w:rsid w:val="00951769"/>
    <w:rsid w:val="00955C95"/>
    <w:rsid w:val="0096349D"/>
    <w:rsid w:val="00972938"/>
    <w:rsid w:val="0098532B"/>
    <w:rsid w:val="00997C8B"/>
    <w:rsid w:val="009B7082"/>
    <w:rsid w:val="009C1BD1"/>
    <w:rsid w:val="009C70C7"/>
    <w:rsid w:val="009E4F8A"/>
    <w:rsid w:val="00A334E9"/>
    <w:rsid w:val="00A337E8"/>
    <w:rsid w:val="00A348A2"/>
    <w:rsid w:val="00A3659E"/>
    <w:rsid w:val="00A37877"/>
    <w:rsid w:val="00A37E00"/>
    <w:rsid w:val="00A41A94"/>
    <w:rsid w:val="00A43C25"/>
    <w:rsid w:val="00A77AFE"/>
    <w:rsid w:val="00A81E5B"/>
    <w:rsid w:val="00A85E55"/>
    <w:rsid w:val="00A93D20"/>
    <w:rsid w:val="00AA4066"/>
    <w:rsid w:val="00AA4C66"/>
    <w:rsid w:val="00AA52E1"/>
    <w:rsid w:val="00AA5C5B"/>
    <w:rsid w:val="00AB69E3"/>
    <w:rsid w:val="00AC328C"/>
    <w:rsid w:val="00AD6A25"/>
    <w:rsid w:val="00AD7360"/>
    <w:rsid w:val="00B06E7A"/>
    <w:rsid w:val="00B072E2"/>
    <w:rsid w:val="00B1019B"/>
    <w:rsid w:val="00B118DC"/>
    <w:rsid w:val="00B11B55"/>
    <w:rsid w:val="00B14163"/>
    <w:rsid w:val="00B23201"/>
    <w:rsid w:val="00B52A7E"/>
    <w:rsid w:val="00B55D2D"/>
    <w:rsid w:val="00B6309C"/>
    <w:rsid w:val="00B632CE"/>
    <w:rsid w:val="00B73000"/>
    <w:rsid w:val="00B73859"/>
    <w:rsid w:val="00B75AE0"/>
    <w:rsid w:val="00B773BE"/>
    <w:rsid w:val="00B866B6"/>
    <w:rsid w:val="00BD14E8"/>
    <w:rsid w:val="00BE6CB6"/>
    <w:rsid w:val="00BF2D8C"/>
    <w:rsid w:val="00C02F32"/>
    <w:rsid w:val="00C07C20"/>
    <w:rsid w:val="00C155E0"/>
    <w:rsid w:val="00C15869"/>
    <w:rsid w:val="00C20141"/>
    <w:rsid w:val="00C40E56"/>
    <w:rsid w:val="00C46C9E"/>
    <w:rsid w:val="00C524C6"/>
    <w:rsid w:val="00C53521"/>
    <w:rsid w:val="00C5372D"/>
    <w:rsid w:val="00C84C7F"/>
    <w:rsid w:val="00C85AB3"/>
    <w:rsid w:val="00C970C0"/>
    <w:rsid w:val="00C974A8"/>
    <w:rsid w:val="00CA75FA"/>
    <w:rsid w:val="00CE0397"/>
    <w:rsid w:val="00D03A69"/>
    <w:rsid w:val="00D20A33"/>
    <w:rsid w:val="00D2176A"/>
    <w:rsid w:val="00D30C05"/>
    <w:rsid w:val="00D459D9"/>
    <w:rsid w:val="00D74F58"/>
    <w:rsid w:val="00D93FCE"/>
    <w:rsid w:val="00DA19FB"/>
    <w:rsid w:val="00DC6689"/>
    <w:rsid w:val="00DD2DAD"/>
    <w:rsid w:val="00DE4362"/>
    <w:rsid w:val="00E00CE6"/>
    <w:rsid w:val="00E057B4"/>
    <w:rsid w:val="00E22DA8"/>
    <w:rsid w:val="00E250A5"/>
    <w:rsid w:val="00E52489"/>
    <w:rsid w:val="00E5560D"/>
    <w:rsid w:val="00E75E5E"/>
    <w:rsid w:val="00E904EC"/>
    <w:rsid w:val="00E907C2"/>
    <w:rsid w:val="00E91456"/>
    <w:rsid w:val="00E94ED4"/>
    <w:rsid w:val="00EC7E29"/>
    <w:rsid w:val="00EE0A76"/>
    <w:rsid w:val="00F01EEF"/>
    <w:rsid w:val="00F1460A"/>
    <w:rsid w:val="00F45F3C"/>
    <w:rsid w:val="00F652F9"/>
    <w:rsid w:val="00F724C8"/>
    <w:rsid w:val="00F763A4"/>
    <w:rsid w:val="00F84D25"/>
    <w:rsid w:val="00F9744F"/>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ities.govt.nz/assets/Resouces/data-dictionary.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charities.govt.nz"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54BA8-DF07-470A-A0C9-5D84A039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15</cp:revision>
  <cp:lastPrinted>2018-06-09T17:30:00Z</cp:lastPrinted>
  <dcterms:created xsi:type="dcterms:W3CDTF">2019-11-01T17:00:00Z</dcterms:created>
  <dcterms:modified xsi:type="dcterms:W3CDTF">2019-11-05T10:11:00Z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