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1. Research Fellow. Third Sector Research Center,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251EFE1B"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E22DA8">
        <w:rPr>
          <w:rFonts w:ascii="Times New Roman" w:hAnsi="Times New Roman" w:cs="Times New Roman"/>
          <w:sz w:val="24"/>
          <w:szCs w:val="24"/>
        </w:rPr>
        <w:t xml:space="preserve">, specifically </w:t>
      </w:r>
      <w:r w:rsidR="00D74F58" w:rsidRPr="0059716A">
        <w:rPr>
          <w:rFonts w:ascii="Times New Roman" w:hAnsi="Times New Roman" w:cs="Times New Roman"/>
          <w:sz w:val="24"/>
          <w:szCs w:val="24"/>
        </w:rPr>
        <w:t xml:space="preserve">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law and data science in order to address important questions in novel ways.</w:t>
      </w:r>
    </w:p>
    <w:p w14:paraId="01F3C0E9" w14:textId="77777777" w:rsidR="004807DE" w:rsidRDefault="00B118DC" w:rsidP="004807DE">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nonprofit </w:t>
      </w:r>
      <w:r w:rsidR="00320249" w:rsidRPr="0059716A">
        <w:rPr>
          <w:rFonts w:ascii="Times New Roman" w:hAnsi="Times New Roman" w:cs="Times New Roman"/>
          <w:sz w:val="24"/>
          <w:szCs w:val="24"/>
        </w:rPr>
        <w:t>dissolution</w:t>
      </w:r>
    </w:p>
    <w:p w14:paraId="149CDCA9" w14:textId="622A0AF8" w:rsidR="00AC328C" w:rsidRPr="0059716A" w:rsidRDefault="00AC328C" w:rsidP="004807DE">
      <w:pPr>
        <w:spacing w:line="480" w:lineRule="auto"/>
        <w:jc w:val="center"/>
        <w:rPr>
          <w:rFonts w:ascii="Times New Roman" w:hAnsi="Times New Roman" w:cs="Times New Roman"/>
          <w:sz w:val="24"/>
          <w:szCs w:val="24"/>
        </w:rPr>
      </w:pPr>
      <w:r w:rsidRPr="0059716A">
        <w:rPr>
          <w:rFonts w:ascii="Times New Roman" w:hAnsi="Times New Roman" w:cs="Times New Roman"/>
          <w:b/>
          <w:sz w:val="24"/>
          <w:szCs w:val="24"/>
        </w:rPr>
        <w:lastRenderedPageBreak/>
        <w:t>Introduction</w:t>
      </w:r>
    </w:p>
    <w:p w14:paraId="0AA7137D" w14:textId="54FCEA44" w:rsidR="00D25202" w:rsidRPr="0059716A" w:rsidRDefault="00AC328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sidRPr="0059716A">
        <w:rPr>
          <w:rFonts w:ascii="Times New Roman" w:hAnsi="Times New Roman" w:cs="Times New Roman"/>
          <w:sz w:val="24"/>
          <w:szCs w:val="24"/>
        </w:rPr>
        <w:t>2019</w:t>
      </w:r>
      <w:r w:rsidRPr="0059716A">
        <w:rPr>
          <w:rFonts w:ascii="Times New Roman" w:hAnsi="Times New Roman" w:cs="Times New Roman"/>
          <w:sz w:val="24"/>
          <w:szCs w:val="24"/>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Deguchi, </w:t>
      </w:r>
      <w:r w:rsidR="00F652F9">
        <w:rPr>
          <w:rFonts w:ascii="Times New Roman" w:hAnsi="Times New Roman" w:cs="Times New Roman"/>
          <w:sz w:val="24"/>
          <w:szCs w:val="24"/>
        </w:rPr>
        <w:t>2018</w:t>
      </w:r>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w:t>
      </w:r>
      <w:r w:rsidR="00C10A45">
        <w:rPr>
          <w:rFonts w:ascii="Times New Roman" w:hAnsi="Times New Roman" w:cs="Times New Roman"/>
          <w:sz w:val="24"/>
          <w:szCs w:val="24"/>
        </w:rPr>
        <w:t>cease operating</w:t>
      </w:r>
      <w:r w:rsidR="001841EA" w:rsidRPr="0059716A">
        <w:rPr>
          <w:rFonts w:ascii="Times New Roman" w:hAnsi="Times New Roman" w:cs="Times New Roman"/>
          <w:sz w:val="24"/>
          <w:szCs w:val="24"/>
        </w:rPr>
        <w:t xml:space="preserve"> (e.g. insufficient funds, non-compliance with legal requirements), but this project will focus on organisations that dissolve after accomplishing their mission. The charity sector's claim to exist for the public good is no longer assumed and must be evidenced (Brody, 2002). However, little is known about the extent to which charities accomplish their missions.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monitoring the sector (Saxton et al., 2012).</w:t>
      </w:r>
    </w:p>
    <w:p w14:paraId="423FDB1A" w14:textId="4A6D3773" w:rsidR="00E907C2"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w:t>
      </w:r>
      <w:r w:rsidR="00E22DA8">
        <w:rPr>
          <w:rFonts w:ascii="Times New Roman" w:hAnsi="Times New Roman" w:cs="Times New Roman"/>
          <w:sz w:val="24"/>
          <w:szCs w:val="24"/>
        </w:rPr>
        <w:t xml:space="preserve">describes the study site: the New Zealand charity sector. Then we </w:t>
      </w:r>
      <w:r w:rsidR="00E907C2" w:rsidRPr="0059716A">
        <w:rPr>
          <w:rFonts w:ascii="Times New Roman" w:hAnsi="Times New Roman" w:cs="Times New Roman"/>
          <w:sz w:val="24"/>
          <w:szCs w:val="24"/>
        </w:rPr>
        <w:t xml:space="preserve">review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1E42D8C1" w14:textId="77777777" w:rsidR="00E22DA8" w:rsidRPr="0059716A" w:rsidRDefault="00E22DA8" w:rsidP="00E22DA8">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p>
    <w:p w14:paraId="05821891" w14:textId="310716D2" w:rsidR="00E22DA8" w:rsidRDefault="00E22DA8" w:rsidP="00E22DA8">
      <w:pPr>
        <w:spacing w:line="480" w:lineRule="auto"/>
        <w:rPr>
          <w:rFonts w:ascii="Times New Roman" w:hAnsi="Times New Roman" w:cs="Times New Roman"/>
          <w:sz w:val="24"/>
          <w:szCs w:val="24"/>
        </w:rPr>
      </w:pPr>
      <w:r>
        <w:rPr>
          <w:rFonts w:ascii="Times New Roman" w:hAnsi="Times New Roman" w:cs="Times New Roman"/>
          <w:sz w:val="24"/>
          <w:szCs w:val="24"/>
        </w:rPr>
        <w:t>The charity regulator in New Zealand began in mid-2007, having been established under the Charities Act 2005. While it began as an Autonomous Crown Entity, since 2012, it has been situated within a large government department (Cordery &amp; Deguchi, 2018). Charities have always been required to report annually to retain their registration and this includes details of the sector, main beneficiaries, updated officer/trustees and financial reporting. No specific financial accounting standards had been developed and therefore charity reporting was previously highly diverse. From 2009-2011, accounting requirements for the public and private sectors were overhauled owing to a need for a more strategic approach to reporting and the new arrangements included a full set of standards for the charity sector (with increasing levels of measurement and disclosure based on four different tiers related to annual expenditure) and these new charity</w:t>
      </w:r>
      <w:r w:rsidRPr="00F652F9">
        <w:rPr>
          <w:rFonts w:ascii="Times New Roman" w:hAnsi="Times New Roman" w:cs="Times New Roman"/>
          <w:sz w:val="24"/>
          <w:szCs w:val="24"/>
        </w:rPr>
        <w:t xml:space="preserve"> accounting standards </w:t>
      </w:r>
      <w:r>
        <w:rPr>
          <w:rFonts w:ascii="Times New Roman" w:hAnsi="Times New Roman" w:cs="Times New Roman"/>
          <w:sz w:val="24"/>
          <w:szCs w:val="24"/>
        </w:rPr>
        <w:t>were</w:t>
      </w:r>
      <w:r w:rsidRPr="00F652F9">
        <w:rPr>
          <w:rFonts w:ascii="Times New Roman" w:hAnsi="Times New Roman" w:cs="Times New Roman"/>
          <w:sz w:val="24"/>
          <w:szCs w:val="24"/>
        </w:rPr>
        <w:t xml:space="preserve"> mandatory for all charities from 2016. </w:t>
      </w:r>
      <w:r w:rsidRPr="00B52A7E">
        <w:rPr>
          <w:rFonts w:ascii="Times New Roman" w:hAnsi="Times New Roman" w:cs="Times New Roman"/>
          <w:sz w:val="24"/>
          <w:szCs w:val="24"/>
        </w:rPr>
        <w:t xml:space="preserve">Charities with expenditure over NZD1 million must have these statements audited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{"citationItems":[{"id":"ITEM-1","itemData":{"ISBN":"9780992820503","abstract":"Key Findings • The majority of survey respondents (72%) indicated that they thought it would be useful to have international standards for financial reporting by not-for-profit organisations (NPOs) – though respondents interpreted the term ‘standards’ in different ways. • Many respondents, especially those involved with NPOs operating in developing countries, would welcome a standard if it could contribute to resolving the diverse and inconsistent demands from funders. • However, 14% were opposed to an international NPO standard. The strongest objections appear to come from countries such as the UK, which already have well developed frameworks for NPO accounting. • This report is the first step towards establishing whether or not there is a case for developing harmonised international standards for NPO financial reporting. • Much more analysis and discussion will be needed between interested parties: the findings presented in this report have the potential to inform the debate and move that discussion forward.","author":[{"dropping-particle":"","family":"Crawford","given":"Louise","non-dropping-particle":"","parse-names":false,"suffix":""},{"dropping-particle":"","family":"Morgan","given":"Gareth G","non-dropping-particle":"","parse-names":false,"suffix":""},{"dropping-particle":"","family":"Cordery","given":"Carolyn J","non-dropping-particle":"","parse-names":false,"suffix":""},{"dropping-particle":"","family":"Breen","given":"Oonagh B","non-dropping-particle":"","parse-names":false,"suffix":""}],"id":"ITEM-1","issue":"February","issued":{"date-parts":[["2014"]]},"number-of-pages":"137","publisher-place":"London, UK","title":"International financial reporting for the not-for-profit sector: a study commissioned by the CCAB","type":"report"},"uris":["http://www.mendeley.com/documents/?uuid=4d184d04-f786-4625-835d-667c76c93867"]}],"mendeley":{"formattedCitation":"(Crawford, Morgan, Cordery, &amp; Breen, 2014)","plainTextFormattedCitation":"(Crawford, Morgan, Cordery, &amp; Breen, 2014)","previouslyFormattedCitation":"(Crawford, Morgan, Cordery, &amp; Breen, 2014)"},"properties":{"noteIndex":0},"schema":"https://github.com/citation-style-language/schema/raw/master/csl-citation.json"}</w:instrText>
      </w:r>
      <w:r>
        <w:rPr>
          <w:rFonts w:ascii="Times New Roman" w:hAnsi="Times New Roman" w:cs="Times New Roman"/>
          <w:sz w:val="24"/>
          <w:szCs w:val="24"/>
        </w:rPr>
        <w:fldChar w:fldCharType="separate"/>
      </w:r>
      <w:r w:rsidRPr="00B52A7E">
        <w:rPr>
          <w:rFonts w:ascii="Times New Roman" w:hAnsi="Times New Roman" w:cs="Times New Roman"/>
          <w:noProof/>
          <w:sz w:val="24"/>
          <w:szCs w:val="24"/>
        </w:rPr>
        <w:t>(Crawford, Morgan, Cordery, &amp; Breen, 2014)</w:t>
      </w:r>
      <w:r>
        <w:rPr>
          <w:rFonts w:ascii="Times New Roman" w:hAnsi="Times New Roman" w:cs="Times New Roman"/>
          <w:sz w:val="24"/>
          <w:szCs w:val="24"/>
        </w:rPr>
        <w:fldChar w:fldCharType="end"/>
      </w:r>
      <w:r w:rsidRPr="00B52A7E">
        <w:rPr>
          <w:rFonts w:ascii="Times New Roman" w:hAnsi="Times New Roman" w:cs="Times New Roman"/>
          <w:sz w:val="24"/>
          <w:szCs w:val="24"/>
        </w:rPr>
        <w:t>.</w:t>
      </w:r>
      <w:r>
        <w:rPr>
          <w:rFonts w:ascii="Times New Roman" w:hAnsi="Times New Roman" w:cs="Times New Roman"/>
          <w:sz w:val="24"/>
          <w:szCs w:val="24"/>
        </w:rPr>
        <w:t xml:space="preserve"> </w:t>
      </w:r>
      <w:r w:rsidR="00D93FCE" w:rsidRPr="00D93FCE">
        <w:rPr>
          <w:rFonts w:ascii="Times New Roman" w:hAnsi="Times New Roman" w:cs="Times New Roman"/>
          <w:sz w:val="24"/>
          <w:szCs w:val="24"/>
        </w:rPr>
        <w:t xml:space="preserve">For charities with </w:t>
      </w:r>
      <w:r w:rsidR="00D93FCE" w:rsidRPr="00D93FCE">
        <w:rPr>
          <w:rFonts w:ascii="Times New Roman" w:hAnsi="Times New Roman" w:cs="Times New Roman"/>
          <w:sz w:val="24"/>
          <w:szCs w:val="24"/>
        </w:rPr>
        <w:lastRenderedPageBreak/>
        <w:t>expenditure of less than NZD</w:t>
      </w:r>
      <w:r w:rsidR="00D93FCE">
        <w:rPr>
          <w:rFonts w:ascii="Times New Roman" w:hAnsi="Times New Roman" w:cs="Times New Roman"/>
          <w:sz w:val="24"/>
          <w:szCs w:val="24"/>
        </w:rPr>
        <w:t>2 million, in addition to finan</w:t>
      </w:r>
      <w:r w:rsidR="00D93FCE" w:rsidRPr="00D93FCE">
        <w:rPr>
          <w:rFonts w:ascii="Times New Roman" w:hAnsi="Times New Roman" w:cs="Times New Roman"/>
          <w:sz w:val="24"/>
          <w:szCs w:val="24"/>
        </w:rPr>
        <w:t>c</w:t>
      </w:r>
      <w:r w:rsidR="00D93FCE">
        <w:rPr>
          <w:rFonts w:ascii="Times New Roman" w:hAnsi="Times New Roman" w:cs="Times New Roman"/>
          <w:sz w:val="24"/>
          <w:szCs w:val="24"/>
        </w:rPr>
        <w:t>i</w:t>
      </w:r>
      <w:r w:rsidR="00D93FCE" w:rsidRPr="00D93FCE">
        <w:rPr>
          <w:rFonts w:ascii="Times New Roman" w:hAnsi="Times New Roman" w:cs="Times New Roman"/>
          <w:sz w:val="24"/>
          <w:szCs w:val="24"/>
        </w:rPr>
        <w:t>al data, they must also provide performance information about the difference they make by operating, i.e. how they have achieved (or otherwise) their mission. Such reporting will also be required of larger charities from 2021 (McConville &amp; Cordery, 2018)</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p>
    <w:p w14:paraId="26C5461E" w14:textId="080BE4CA" w:rsidR="00AC328C" w:rsidRPr="0059716A" w:rsidRDefault="00E22DA8" w:rsidP="00D93FCE">
      <w:pPr>
        <w:spacing w:line="480" w:lineRule="auto"/>
        <w:jc w:val="center"/>
        <w:rPr>
          <w:rFonts w:ascii="Times New Roman" w:hAnsi="Times New Roman" w:cs="Times New Roman"/>
          <w:b/>
          <w:sz w:val="24"/>
          <w:szCs w:val="24"/>
        </w:rPr>
      </w:pPr>
      <w:r>
        <w:rPr>
          <w:rFonts w:ascii="Times New Roman" w:hAnsi="Times New Roman" w:cs="Times New Roman"/>
          <w:sz w:val="24"/>
          <w:szCs w:val="24"/>
        </w:rPr>
        <w:fldChar w:fldCharType="end"/>
      </w:r>
      <w:r w:rsidR="00E907C2" w:rsidRPr="0059716A">
        <w:rPr>
          <w:rFonts w:ascii="Times New Roman" w:hAnsi="Times New Roman" w:cs="Times New Roman"/>
          <w:b/>
          <w:sz w:val="24"/>
          <w:szCs w:val="24"/>
        </w:rPr>
        <w:t>Literature</w:t>
      </w:r>
    </w:p>
    <w:p w14:paraId="61E3FD7E" w14:textId="69B7E8D1" w:rsidR="00722536" w:rsidRPr="0059716A" w:rsidRDefault="00354A01" w:rsidP="0059716A">
      <w:pPr>
        <w:spacing w:line="480" w:lineRule="auto"/>
        <w:rPr>
          <w:rFonts w:ascii="Times New Roman" w:hAnsi="Times New Roman" w:cs="Times New Roman"/>
          <w:b/>
          <w:sz w:val="24"/>
          <w:szCs w:val="24"/>
        </w:rPr>
      </w:pPr>
      <w:r>
        <w:rPr>
          <w:rFonts w:ascii="Times New Roman" w:hAnsi="Times New Roman" w:cs="Times New Roman"/>
          <w:b/>
          <w:sz w:val="24"/>
          <w:szCs w:val="24"/>
        </w:rPr>
        <w:t>Conceptual challenges</w:t>
      </w:r>
    </w:p>
    <w:p w14:paraId="791FC649" w14:textId="65FEB2B6" w:rsidR="00A93D20"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Defining charity success and/or failure has proved problematic (Lecy et al., 2011). There are various conceptualisations of failure including resource reduction, market exit, and mortality (Helmig et al., 2014; (Mellahi &amp; Wilkinson, 2004). </w:t>
      </w:r>
      <w:r w:rsidR="008876C7" w:rsidRPr="0059716A">
        <w:rPr>
          <w:rFonts w:ascii="Times New Roman" w:hAnsi="Times New Roman" w:cs="Times New Roman"/>
          <w:sz w:val="24"/>
          <w:szCs w:val="24"/>
        </w:rPr>
        <w:t xml:space="preserve">However, many of these constructs contain inconsistencies and contradictions. For example, organisational dissolution may indicate success rather than failure in cases where the charity accomplished its mission (Helmig et al., 2014; see also Hager, Galaskiewicz, Bielefeld &amp; Pins, 1996). </w:t>
      </w:r>
      <w:r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Pr="0059716A">
        <w:rPr>
          <w:rFonts w:ascii="Times New Roman" w:hAnsi="Times New Roman" w:cs="Times New Roman"/>
          <w:sz w:val="24"/>
          <w:szCs w:val="24"/>
        </w:rPr>
        <w:t xml:space="preserve"> poorly understood for a number of reasons (Helmig et al., 2014). Extant studies have focused on a limited number of subsectors such as Social Service organisations (Helmig et al., 2014); used observations from small regional study sites (e.g. Wollebaek,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771AD5DE" w14:textId="34CFDC30" w:rsidR="00354A01" w:rsidRPr="00354A01" w:rsidRDefault="00354A01" w:rsidP="0059716A">
      <w:pPr>
        <w:spacing w:line="480" w:lineRule="auto"/>
        <w:rPr>
          <w:rFonts w:ascii="Times New Roman" w:hAnsi="Times New Roman" w:cs="Times New Roman"/>
          <w:b/>
          <w:sz w:val="24"/>
          <w:szCs w:val="24"/>
        </w:rPr>
      </w:pPr>
      <w:commentRangeStart w:id="0"/>
      <w:r w:rsidRPr="00354A01">
        <w:rPr>
          <w:rFonts w:ascii="Times New Roman" w:hAnsi="Times New Roman" w:cs="Times New Roman"/>
          <w:b/>
          <w:sz w:val="24"/>
          <w:szCs w:val="24"/>
        </w:rPr>
        <w:t>Theoretical perspectives</w:t>
      </w:r>
      <w:commentRangeEnd w:id="0"/>
      <w:r w:rsidR="007355E1">
        <w:rPr>
          <w:rStyle w:val="CommentReference"/>
        </w:rPr>
        <w:commentReference w:id="0"/>
      </w:r>
    </w:p>
    <w:p w14:paraId="5B847073" w14:textId="619C4B5B" w:rsidR="009B7174" w:rsidRDefault="00BA3CCC" w:rsidP="001628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three core theories that </w:t>
      </w:r>
      <w:r w:rsidRPr="00BA3CCC">
        <w:rPr>
          <w:rFonts w:ascii="Times New Roman" w:hAnsi="Times New Roman" w:cs="Times New Roman"/>
          <w:sz w:val="24"/>
          <w:szCs w:val="24"/>
        </w:rPr>
        <w:t xml:space="preserve">provide some explanatory power for understanding causes of </w:t>
      </w:r>
      <w:r>
        <w:rPr>
          <w:rFonts w:ascii="Times New Roman" w:hAnsi="Times New Roman" w:cs="Times New Roman"/>
          <w:sz w:val="24"/>
          <w:szCs w:val="24"/>
        </w:rPr>
        <w:t xml:space="preserve">charity </w:t>
      </w:r>
      <w:r w:rsidRPr="00BA3CCC">
        <w:rPr>
          <w:rFonts w:ascii="Times New Roman" w:hAnsi="Times New Roman" w:cs="Times New Roman"/>
          <w:sz w:val="24"/>
          <w:szCs w:val="24"/>
        </w:rPr>
        <w:t>dissolution</w:t>
      </w:r>
      <w:r w:rsidR="009B7174">
        <w:rPr>
          <w:rFonts w:ascii="Times New Roman" w:hAnsi="Times New Roman" w:cs="Times New Roman"/>
          <w:sz w:val="24"/>
          <w:szCs w:val="24"/>
        </w:rPr>
        <w:t xml:space="preserve"> (Fernandez, 2008): resource dependence, population ecology, and new institutionalism.</w:t>
      </w:r>
    </w:p>
    <w:p w14:paraId="35F3496B" w14:textId="52662AF2" w:rsidR="009B7174" w:rsidRDefault="009B7174" w:rsidP="00162833">
      <w:pPr>
        <w:spacing w:line="480" w:lineRule="auto"/>
        <w:rPr>
          <w:rFonts w:ascii="Times New Roman" w:hAnsi="Times New Roman" w:cs="Times New Roman"/>
          <w:i/>
          <w:sz w:val="24"/>
          <w:szCs w:val="24"/>
        </w:rPr>
      </w:pPr>
      <w:r>
        <w:rPr>
          <w:rFonts w:ascii="Times New Roman" w:hAnsi="Times New Roman" w:cs="Times New Roman"/>
          <w:i/>
          <w:sz w:val="24"/>
          <w:szCs w:val="24"/>
        </w:rPr>
        <w:t>Resource dependence</w:t>
      </w:r>
    </w:p>
    <w:p w14:paraId="328E75F8" w14:textId="51FB6F8D" w:rsidR="00DA166B" w:rsidRDefault="00BA3CCC" w:rsidP="00162833">
      <w:pPr>
        <w:spacing w:line="480" w:lineRule="auto"/>
        <w:rPr>
          <w:rFonts w:ascii="Times New Roman" w:hAnsi="Times New Roman" w:cs="Times New Roman"/>
          <w:sz w:val="24"/>
          <w:szCs w:val="24"/>
        </w:rPr>
      </w:pPr>
      <w:r w:rsidRPr="009B7174">
        <w:rPr>
          <w:rFonts w:ascii="Times New Roman" w:hAnsi="Times New Roman" w:cs="Times New Roman"/>
          <w:sz w:val="24"/>
          <w:szCs w:val="24"/>
        </w:rPr>
        <w:t>Resource dependence</w:t>
      </w:r>
      <w:r>
        <w:rPr>
          <w:rFonts w:ascii="Times New Roman" w:hAnsi="Times New Roman" w:cs="Times New Roman"/>
          <w:i/>
          <w:sz w:val="24"/>
          <w:szCs w:val="24"/>
        </w:rPr>
        <w:t xml:space="preserve"> </w:t>
      </w:r>
      <w:r>
        <w:rPr>
          <w:rFonts w:ascii="Times New Roman" w:hAnsi="Times New Roman" w:cs="Times New Roman"/>
          <w:sz w:val="24"/>
          <w:szCs w:val="24"/>
        </w:rPr>
        <w:t>theory contends that organisations and their environments are interdependent, in particular regarding resource acquisition (Pfeffer &amp;</w:t>
      </w:r>
      <w:r w:rsidR="00BF6019">
        <w:rPr>
          <w:rFonts w:ascii="Times New Roman" w:hAnsi="Times New Roman" w:cs="Times New Roman"/>
          <w:sz w:val="24"/>
          <w:szCs w:val="24"/>
        </w:rPr>
        <w:t xml:space="preserve"> Salancik, 2003</w:t>
      </w:r>
      <w:r>
        <w:rPr>
          <w:rFonts w:ascii="Times New Roman" w:hAnsi="Times New Roman" w:cs="Times New Roman"/>
          <w:sz w:val="24"/>
          <w:szCs w:val="24"/>
        </w:rPr>
        <w:t xml:space="preserve">). This interdependence has positive consequences in the form of </w:t>
      </w:r>
      <w:r w:rsidR="00BF6019">
        <w:rPr>
          <w:rFonts w:ascii="Times New Roman" w:hAnsi="Times New Roman" w:cs="Times New Roman"/>
          <w:sz w:val="24"/>
          <w:szCs w:val="24"/>
        </w:rPr>
        <w:t xml:space="preserve">offering organisations opportunities to acquire resources from a broad range of other entities in the environment; the negative implications centre on the potential for an organisation to become liable to the suppliers of its resources. </w:t>
      </w:r>
      <w:r w:rsidR="00162833">
        <w:rPr>
          <w:rFonts w:ascii="Times New Roman" w:hAnsi="Times New Roman" w:cs="Times New Roman"/>
          <w:sz w:val="24"/>
          <w:szCs w:val="24"/>
        </w:rPr>
        <w:t>In relation to the topic at hand,</w:t>
      </w:r>
      <w:r w:rsidR="00BF6019">
        <w:rPr>
          <w:rFonts w:ascii="Times New Roman" w:hAnsi="Times New Roman" w:cs="Times New Roman"/>
          <w:sz w:val="24"/>
          <w:szCs w:val="24"/>
        </w:rPr>
        <w:t xml:space="preserve"> an organisation’s survival prospects hinge on being able to acquire and maintain resources (Pfeffer &amp; Salancik, 2003). The distribution of dependence (or power) across an organisation’s relationships is a salient factor in its chances of survival: </w:t>
      </w:r>
      <w:r w:rsidR="00162833">
        <w:rPr>
          <w:rFonts w:ascii="Times New Roman" w:hAnsi="Times New Roman" w:cs="Times New Roman"/>
          <w:sz w:val="24"/>
          <w:szCs w:val="24"/>
        </w:rPr>
        <w:t>“</w:t>
      </w:r>
      <w:r w:rsidR="00162833" w:rsidRPr="00162833">
        <w:rPr>
          <w:rFonts w:ascii="Times New Roman" w:hAnsi="Times New Roman" w:cs="Times New Roman"/>
          <w:sz w:val="24"/>
          <w:szCs w:val="24"/>
        </w:rPr>
        <w:t>organizations with a concentrated external dependence may face</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more discontinuities in the inflow of resources and may attain worse bargaining</w:t>
      </w:r>
      <w:r w:rsidR="00162833">
        <w:rPr>
          <w:rFonts w:ascii="Times New Roman" w:hAnsi="Times New Roman" w:cs="Times New Roman"/>
          <w:sz w:val="24"/>
          <w:szCs w:val="24"/>
        </w:rPr>
        <w:t xml:space="preserve"> </w:t>
      </w:r>
      <w:r w:rsidR="00162833" w:rsidRPr="00162833">
        <w:rPr>
          <w:rFonts w:ascii="Times New Roman" w:hAnsi="Times New Roman" w:cs="Times New Roman"/>
          <w:sz w:val="24"/>
          <w:szCs w:val="24"/>
        </w:rPr>
        <w:t>positions</w:t>
      </w:r>
      <w:r w:rsidR="00162833">
        <w:rPr>
          <w:rFonts w:ascii="Times New Roman" w:hAnsi="Times New Roman" w:cs="Times New Roman"/>
          <w:sz w:val="24"/>
          <w:szCs w:val="24"/>
        </w:rPr>
        <w:t xml:space="preserve">.” (Fernandez, 2008, p. 117) Therefore, resource dependence theory predicts </w:t>
      </w:r>
      <w:r w:rsidR="00872DB1">
        <w:rPr>
          <w:rFonts w:ascii="Times New Roman" w:hAnsi="Times New Roman" w:cs="Times New Roman"/>
          <w:sz w:val="24"/>
          <w:szCs w:val="24"/>
        </w:rPr>
        <w:t>that organisations that secure their resources from a limited range of entities have higher prospects of dissolution.</w:t>
      </w:r>
      <w:r w:rsidR="00DA166B">
        <w:rPr>
          <w:rFonts w:ascii="Times New Roman" w:hAnsi="Times New Roman" w:cs="Times New Roman"/>
          <w:sz w:val="24"/>
          <w:szCs w:val="24"/>
        </w:rPr>
        <w:t xml:space="preserve"> </w:t>
      </w:r>
      <w:r w:rsidR="00D825CA">
        <w:rPr>
          <w:rFonts w:ascii="Times New Roman" w:hAnsi="Times New Roman" w:cs="Times New Roman"/>
          <w:sz w:val="24"/>
          <w:szCs w:val="24"/>
        </w:rPr>
        <w:t xml:space="preserve">The logic of revenue diversification is simple and compelling: </w:t>
      </w:r>
      <w:r w:rsidR="00F638E7">
        <w:rPr>
          <w:rFonts w:ascii="Times New Roman" w:hAnsi="Times New Roman" w:cs="Times New Roman"/>
          <w:sz w:val="24"/>
          <w:szCs w:val="24"/>
        </w:rPr>
        <w:t xml:space="preserve">it hedges against uncertainty and instability in the organisation’s operating environment (Hung &amp; Hager, 2019). </w:t>
      </w:r>
      <w:r w:rsidR="00D825CA">
        <w:rPr>
          <w:rFonts w:ascii="Times New Roman" w:hAnsi="Times New Roman" w:cs="Times New Roman"/>
          <w:sz w:val="24"/>
          <w:szCs w:val="24"/>
        </w:rPr>
        <w:t>However, a nuanced perspective is needed, as new and enhanced risks accompany the greater rewards associated with diversification (Froelic</w:t>
      </w:r>
      <w:r w:rsidR="00E96B23">
        <w:rPr>
          <w:rFonts w:ascii="Times New Roman" w:hAnsi="Times New Roman" w:cs="Times New Roman"/>
          <w:sz w:val="24"/>
          <w:szCs w:val="24"/>
        </w:rPr>
        <w:t>h, 1990; Frumkin &amp; Keating, 2011</w:t>
      </w:r>
      <w:r w:rsidR="00D825CA">
        <w:rPr>
          <w:rFonts w:ascii="Times New Roman" w:hAnsi="Times New Roman" w:cs="Times New Roman"/>
          <w:sz w:val="24"/>
          <w:szCs w:val="24"/>
        </w:rPr>
        <w:t>)</w:t>
      </w:r>
      <w:r w:rsidR="00DA166B">
        <w:rPr>
          <w:rFonts w:ascii="Times New Roman" w:hAnsi="Times New Roman" w:cs="Times New Roman"/>
          <w:sz w:val="24"/>
          <w:szCs w:val="24"/>
        </w:rPr>
        <w:t>.</w:t>
      </w:r>
      <w:r w:rsidR="002A40DC">
        <w:rPr>
          <w:rFonts w:ascii="Times New Roman" w:hAnsi="Times New Roman" w:cs="Times New Roman"/>
          <w:sz w:val="24"/>
          <w:szCs w:val="24"/>
        </w:rPr>
        <w:t xml:space="preserve"> Recent meta-analyses suggest that revenue diversification has, at best, a small, positive association with nonprofit financial health (Hung &amp; Hager, 2019; Lu et al., 2019b). We test whether this is the case by stating t</w:t>
      </w:r>
      <w:r w:rsidR="00DA166B">
        <w:rPr>
          <w:rFonts w:ascii="Times New Roman" w:hAnsi="Times New Roman" w:cs="Times New Roman"/>
          <w:sz w:val="24"/>
          <w:szCs w:val="24"/>
        </w:rPr>
        <w:t>he following:</w:t>
      </w:r>
    </w:p>
    <w:p w14:paraId="4BD6A1A6" w14:textId="080C28A4" w:rsidR="00DA166B" w:rsidRDefault="00DA166B"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Hypothesis 1: Charities that rely on more diversified revenue portfolios are less likely to dissolve</w:t>
      </w:r>
      <w:r w:rsidR="00EE519A">
        <w:rPr>
          <w:rFonts w:ascii="Times New Roman" w:hAnsi="Times New Roman" w:cs="Times New Roman"/>
          <w:sz w:val="24"/>
          <w:szCs w:val="24"/>
        </w:rPr>
        <w:t>.</w:t>
      </w:r>
    </w:p>
    <w:p w14:paraId="557FD50C" w14:textId="7F27B0A3" w:rsidR="00245D21" w:rsidRDefault="00245D21" w:rsidP="001628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also important to consider the </w:t>
      </w:r>
      <w:r w:rsidR="00370E3F">
        <w:rPr>
          <w:rFonts w:ascii="Times New Roman" w:hAnsi="Times New Roman" w:cs="Times New Roman"/>
          <w:sz w:val="24"/>
          <w:szCs w:val="24"/>
        </w:rPr>
        <w:t>nature</w:t>
      </w:r>
      <w:r>
        <w:rPr>
          <w:rFonts w:ascii="Times New Roman" w:hAnsi="Times New Roman" w:cs="Times New Roman"/>
          <w:sz w:val="24"/>
          <w:szCs w:val="24"/>
        </w:rPr>
        <w:t xml:space="preserve"> and source, not just the diversity, of an organisation’s resource base. </w:t>
      </w:r>
      <w:r w:rsidR="005803D7">
        <w:rPr>
          <w:rFonts w:ascii="Times New Roman" w:hAnsi="Times New Roman" w:cs="Times New Roman"/>
          <w:sz w:val="24"/>
          <w:szCs w:val="24"/>
        </w:rPr>
        <w:t>A new source of revenue can be bring additional complexity, cost, dependence and risk, and lead to mission drift (Frumkin &amp; Keating, 2011; Hung &amp; Hager, 2019). Nonprofits are often differentiated in the literature</w:t>
      </w:r>
      <w:r w:rsidR="00625BA6">
        <w:rPr>
          <w:rFonts w:ascii="Times New Roman" w:hAnsi="Times New Roman" w:cs="Times New Roman"/>
          <w:sz w:val="24"/>
          <w:szCs w:val="24"/>
        </w:rPr>
        <w:t xml:space="preserve"> using Hansmann’s (1980) classification: an organisation is classed as donative if it</w:t>
      </w:r>
      <w:r w:rsidR="005803D7">
        <w:rPr>
          <w:rFonts w:ascii="Times New Roman" w:hAnsi="Times New Roman" w:cs="Times New Roman"/>
          <w:sz w:val="24"/>
          <w:szCs w:val="24"/>
        </w:rPr>
        <w:t xml:space="preserve"> derive</w:t>
      </w:r>
      <w:r w:rsidR="00625BA6">
        <w:rPr>
          <w:rFonts w:ascii="Times New Roman" w:hAnsi="Times New Roman" w:cs="Times New Roman"/>
          <w:sz w:val="24"/>
          <w:szCs w:val="24"/>
        </w:rPr>
        <w:t>s</w:t>
      </w:r>
      <w:r w:rsidR="005803D7">
        <w:rPr>
          <w:rFonts w:ascii="Times New Roman" w:hAnsi="Times New Roman" w:cs="Times New Roman"/>
          <w:sz w:val="24"/>
          <w:szCs w:val="24"/>
        </w:rPr>
        <w:t xml:space="preserve"> a majority of their income from </w:t>
      </w:r>
      <w:r w:rsidR="00625BA6">
        <w:rPr>
          <w:rFonts w:ascii="Times New Roman" w:hAnsi="Times New Roman" w:cs="Times New Roman"/>
          <w:sz w:val="24"/>
          <w:szCs w:val="24"/>
        </w:rPr>
        <w:t>donations or grants, and commercial if the majority comes</w:t>
      </w:r>
      <w:r w:rsidR="005803D7">
        <w:rPr>
          <w:rFonts w:ascii="Times New Roman" w:hAnsi="Times New Roman" w:cs="Times New Roman"/>
          <w:sz w:val="24"/>
          <w:szCs w:val="24"/>
        </w:rPr>
        <w:t xml:space="preserve"> from charging fee</w:t>
      </w:r>
      <w:r w:rsidR="00625BA6">
        <w:rPr>
          <w:rFonts w:ascii="Times New Roman" w:hAnsi="Times New Roman" w:cs="Times New Roman"/>
          <w:sz w:val="24"/>
          <w:szCs w:val="24"/>
        </w:rPr>
        <w:t>s. This bifurcation, though limited, has been employed productively in various empirical studies (</w:t>
      </w:r>
      <w:r w:rsidR="00411180">
        <w:rPr>
          <w:rFonts w:ascii="Times New Roman" w:hAnsi="Times New Roman" w:cs="Times New Roman"/>
          <w:sz w:val="24"/>
          <w:szCs w:val="24"/>
        </w:rPr>
        <w:t xml:space="preserve">e.g. </w:t>
      </w:r>
      <w:r w:rsidR="00625BA6">
        <w:rPr>
          <w:rFonts w:ascii="Times New Roman" w:hAnsi="Times New Roman" w:cs="Times New Roman"/>
          <w:sz w:val="24"/>
          <w:szCs w:val="24"/>
        </w:rPr>
        <w:t>Lu et al., 2019</w:t>
      </w:r>
      <w:r w:rsidR="002A40DC">
        <w:rPr>
          <w:rFonts w:ascii="Times New Roman" w:hAnsi="Times New Roman" w:cs="Times New Roman"/>
          <w:sz w:val="24"/>
          <w:szCs w:val="24"/>
        </w:rPr>
        <w:t>a</w:t>
      </w:r>
      <w:r w:rsidR="00625BA6">
        <w:rPr>
          <w:rFonts w:ascii="Times New Roman" w:hAnsi="Times New Roman" w:cs="Times New Roman"/>
          <w:sz w:val="24"/>
          <w:szCs w:val="24"/>
        </w:rPr>
        <w:t xml:space="preserve">; </w:t>
      </w:r>
      <w:r w:rsidR="00625BA6" w:rsidRPr="00625BA6">
        <w:rPr>
          <w:rFonts w:ascii="Times New Roman" w:hAnsi="Times New Roman" w:cs="Times New Roman"/>
          <w:sz w:val="24"/>
          <w:szCs w:val="24"/>
        </w:rPr>
        <w:t>Teasdale, Kerlin, Young, &amp; Soh, 2013</w:t>
      </w:r>
      <w:r w:rsidR="00625BA6">
        <w:rPr>
          <w:rFonts w:ascii="Times New Roman" w:hAnsi="Times New Roman" w:cs="Times New Roman"/>
          <w:sz w:val="24"/>
          <w:szCs w:val="24"/>
        </w:rPr>
        <w:t>)</w:t>
      </w:r>
      <w:r w:rsidR="0024708C">
        <w:rPr>
          <w:rFonts w:ascii="Times New Roman" w:hAnsi="Times New Roman" w:cs="Times New Roman"/>
          <w:sz w:val="24"/>
          <w:szCs w:val="24"/>
        </w:rPr>
        <w:t xml:space="preserve">. </w:t>
      </w:r>
      <w:r w:rsidR="00411180">
        <w:rPr>
          <w:rFonts w:ascii="Times New Roman" w:hAnsi="Times New Roman" w:cs="Times New Roman"/>
          <w:sz w:val="24"/>
          <w:szCs w:val="24"/>
        </w:rPr>
        <w:t xml:space="preserve">[Something about implications of being commercial on survival prospects - </w:t>
      </w:r>
      <w:r w:rsidR="00411180" w:rsidRPr="00411180">
        <w:rPr>
          <w:rFonts w:ascii="Times New Roman" w:hAnsi="Times New Roman" w:cs="Times New Roman"/>
          <w:sz w:val="24"/>
          <w:szCs w:val="24"/>
        </w:rPr>
        <w:t>Gras &amp; Mendoza-Abarca, 2014; Hager et al., 2004</w:t>
      </w:r>
      <w:r w:rsidR="00411180">
        <w:rPr>
          <w:rFonts w:ascii="Times New Roman" w:hAnsi="Times New Roman" w:cs="Times New Roman"/>
          <w:sz w:val="24"/>
          <w:szCs w:val="24"/>
        </w:rPr>
        <w:t xml:space="preserve">] </w:t>
      </w:r>
      <w:r w:rsidR="0024708C">
        <w:rPr>
          <w:rFonts w:ascii="Times New Roman" w:hAnsi="Times New Roman" w:cs="Times New Roman"/>
          <w:sz w:val="24"/>
          <w:szCs w:val="24"/>
        </w:rPr>
        <w:t>The extant literature has failed to reach a consensus on the sign of the association between this factor and dissolution</w:t>
      </w:r>
      <w:r w:rsidR="001C2F0C">
        <w:rPr>
          <w:rFonts w:ascii="Times New Roman" w:hAnsi="Times New Roman" w:cs="Times New Roman"/>
          <w:sz w:val="24"/>
          <w:szCs w:val="24"/>
        </w:rPr>
        <w:t xml:space="preserve"> (Lu et al., 2019</w:t>
      </w:r>
      <w:r w:rsidR="002A40DC">
        <w:rPr>
          <w:rFonts w:ascii="Times New Roman" w:hAnsi="Times New Roman" w:cs="Times New Roman"/>
          <w:sz w:val="24"/>
          <w:szCs w:val="24"/>
        </w:rPr>
        <w:t>a</w:t>
      </w:r>
      <w:r w:rsidR="001C2F0C">
        <w:rPr>
          <w:rFonts w:ascii="Times New Roman" w:hAnsi="Times New Roman" w:cs="Times New Roman"/>
          <w:sz w:val="24"/>
          <w:szCs w:val="24"/>
        </w:rPr>
        <w:t>)</w:t>
      </w:r>
      <w:r w:rsidR="0024708C">
        <w:rPr>
          <w:rFonts w:ascii="Times New Roman" w:hAnsi="Times New Roman" w:cs="Times New Roman"/>
          <w:sz w:val="24"/>
          <w:szCs w:val="24"/>
        </w:rPr>
        <w:t>, therefore we specify the following hypothesis</w:t>
      </w:r>
      <w:r w:rsidR="00211D9B">
        <w:rPr>
          <w:rFonts w:ascii="Times New Roman" w:hAnsi="Times New Roman" w:cs="Times New Roman"/>
          <w:sz w:val="24"/>
          <w:szCs w:val="24"/>
        </w:rPr>
        <w:t xml:space="preserve"> [I should probably be explicit regarding only referencing the meta-analyses for revenue diversification]</w:t>
      </w:r>
      <w:r w:rsidR="0024708C">
        <w:rPr>
          <w:rFonts w:ascii="Times New Roman" w:hAnsi="Times New Roman" w:cs="Times New Roman"/>
          <w:sz w:val="24"/>
          <w:szCs w:val="24"/>
        </w:rPr>
        <w:t>:</w:t>
      </w:r>
    </w:p>
    <w:p w14:paraId="6735EE26" w14:textId="7FD8F03C" w:rsidR="005803D7" w:rsidRDefault="00EE519A"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2: Charities reliant on donations have different likelihoods of dissolution than commercial charities.</w:t>
      </w:r>
    </w:p>
    <w:p w14:paraId="408538A4" w14:textId="5030E934" w:rsidR="0024708C" w:rsidRDefault="002A40DC" w:rsidP="0024708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resource dependence factor concerns the main source of a charity’s funds, specifically from government. </w:t>
      </w:r>
    </w:p>
    <w:p w14:paraId="0B2C8270" w14:textId="684D1BDA" w:rsidR="00245D21" w:rsidRPr="00BA3CCC" w:rsidRDefault="00245D21" w:rsidP="0024708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Hypothesis 3: </w:t>
      </w:r>
      <w:r w:rsidR="005803D7">
        <w:rPr>
          <w:rFonts w:ascii="Times New Roman" w:hAnsi="Times New Roman" w:cs="Times New Roman"/>
          <w:sz w:val="24"/>
          <w:szCs w:val="24"/>
        </w:rPr>
        <w:t>Charities whose main source of revenue is from government have different likelihoods of dissolution.</w:t>
      </w:r>
    </w:p>
    <w:p w14:paraId="5306D31B" w14:textId="4EFBE594" w:rsidR="006C3245" w:rsidRPr="009B7174" w:rsidRDefault="009B7174" w:rsidP="0059716A">
      <w:pPr>
        <w:spacing w:line="480" w:lineRule="auto"/>
        <w:rPr>
          <w:rFonts w:ascii="Times New Roman" w:hAnsi="Times New Roman" w:cs="Times New Roman"/>
          <w:i/>
          <w:sz w:val="24"/>
          <w:szCs w:val="24"/>
        </w:rPr>
      </w:pPr>
      <w:r w:rsidRPr="009B7174">
        <w:rPr>
          <w:rFonts w:ascii="Times New Roman" w:hAnsi="Times New Roman" w:cs="Times New Roman"/>
          <w:i/>
          <w:sz w:val="24"/>
          <w:szCs w:val="24"/>
        </w:rPr>
        <w:t>Population ecology</w:t>
      </w:r>
    </w:p>
    <w:p w14:paraId="30A34904" w14:textId="4864F381" w:rsidR="009B7174" w:rsidRDefault="00727BEB"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Population ecology theory contends that an organisation’s demographic (e.g. age and size) and ecological (e.g. field of activity) characteristics influence its survival prospects (Baum, </w:t>
      </w:r>
      <w:r>
        <w:rPr>
          <w:rFonts w:ascii="Times New Roman" w:hAnsi="Times New Roman" w:cs="Times New Roman"/>
          <w:sz w:val="24"/>
          <w:szCs w:val="24"/>
        </w:rPr>
        <w:lastRenderedPageBreak/>
        <w:t xml:space="preserve">1999; Bielefeld, 1994; Hannan &amp; Freeman, 1977). </w:t>
      </w:r>
      <w:r w:rsidR="009B63C6">
        <w:rPr>
          <w:rFonts w:ascii="Times New Roman" w:hAnsi="Times New Roman" w:cs="Times New Roman"/>
          <w:sz w:val="24"/>
          <w:szCs w:val="24"/>
        </w:rPr>
        <w:t xml:space="preserve">There are a number of hypotheses within the broader framework of population ecology theory that have been empirically tested in relation to nonprofit dissolution. The liability of newness posits that </w:t>
      </w:r>
      <w:r w:rsidR="00793044">
        <w:rPr>
          <w:rFonts w:ascii="Times New Roman" w:hAnsi="Times New Roman" w:cs="Times New Roman"/>
          <w:sz w:val="24"/>
          <w:szCs w:val="24"/>
        </w:rPr>
        <w:t>younger organisations have higher likelihoods of dissolution, possibly due to a lack of social connections, absence of defined roles within the organisation, costs associated with establishing operating procedures, and reliance on entities that poorly known/unknown to the organisation (Stinchcombe, 1965). In a similar vein, the liability of smallness hypothesis claims that smaller organisations (often defined in terms of total income, exp</w:t>
      </w:r>
      <w:r w:rsidR="00DC0EBE">
        <w:rPr>
          <w:rFonts w:ascii="Times New Roman" w:hAnsi="Times New Roman" w:cs="Times New Roman"/>
          <w:sz w:val="24"/>
          <w:szCs w:val="24"/>
        </w:rPr>
        <w:t>enditure, assets or staff) are at greater risk of dissolution (</w:t>
      </w:r>
      <w:r w:rsidR="00DC0EBE" w:rsidRPr="00DC0EBE">
        <w:rPr>
          <w:rFonts w:ascii="Times New Roman" w:hAnsi="Times New Roman" w:cs="Times New Roman"/>
          <w:sz w:val="24"/>
          <w:szCs w:val="24"/>
        </w:rPr>
        <w:t>Freeman et al.</w:t>
      </w:r>
      <w:r w:rsidR="00DC0EBE">
        <w:rPr>
          <w:rFonts w:ascii="Times New Roman" w:hAnsi="Times New Roman" w:cs="Times New Roman"/>
          <w:sz w:val="24"/>
          <w:szCs w:val="24"/>
        </w:rPr>
        <w:t>,</w:t>
      </w:r>
      <w:r w:rsidR="00DC0EBE" w:rsidRPr="00DC0EBE">
        <w:rPr>
          <w:rFonts w:ascii="Times New Roman" w:hAnsi="Times New Roman" w:cs="Times New Roman"/>
          <w:sz w:val="24"/>
          <w:szCs w:val="24"/>
        </w:rPr>
        <w:t xml:space="preserve"> 1983;</w:t>
      </w:r>
      <w:r w:rsidR="00DC0EBE">
        <w:rPr>
          <w:rFonts w:ascii="Times New Roman" w:hAnsi="Times New Roman" w:cs="Times New Roman"/>
          <w:sz w:val="24"/>
          <w:szCs w:val="24"/>
        </w:rPr>
        <w:t xml:space="preserve"> Hannan &amp;</w:t>
      </w:r>
      <w:r w:rsidR="00DC0EBE" w:rsidRPr="00DC0EBE">
        <w:rPr>
          <w:rFonts w:ascii="Times New Roman" w:hAnsi="Times New Roman" w:cs="Times New Roman"/>
          <w:sz w:val="24"/>
          <w:szCs w:val="24"/>
        </w:rPr>
        <w:t xml:space="preserve"> Freeman 1984</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The empirical literature largely corroborates these hypotheses (e.g.</w:t>
      </w:r>
      <w:r w:rsidR="00DC0EBE">
        <w:rPr>
          <w:rFonts w:ascii="Times New Roman" w:hAnsi="Times New Roman" w:cs="Times New Roman"/>
          <w:sz w:val="24"/>
          <w:szCs w:val="24"/>
        </w:rPr>
        <w:t xml:space="preserve"> </w:t>
      </w:r>
      <w:r w:rsidR="00DC0EBE" w:rsidRPr="00DC0EBE">
        <w:rPr>
          <w:rFonts w:ascii="Times New Roman" w:hAnsi="Times New Roman" w:cs="Times New Roman"/>
          <w:sz w:val="24"/>
          <w:szCs w:val="24"/>
        </w:rPr>
        <w:t>Barron et al.</w:t>
      </w:r>
      <w:r w:rsidR="00DC0EBE">
        <w:rPr>
          <w:rFonts w:ascii="Times New Roman" w:hAnsi="Times New Roman" w:cs="Times New Roman"/>
          <w:sz w:val="24"/>
          <w:szCs w:val="24"/>
        </w:rPr>
        <w:t>,</w:t>
      </w:r>
      <w:r w:rsidR="00DC0EBE" w:rsidRPr="00DC0EBE">
        <w:rPr>
          <w:rFonts w:ascii="Times New Roman" w:hAnsi="Times New Roman" w:cs="Times New Roman"/>
          <w:sz w:val="24"/>
          <w:szCs w:val="24"/>
        </w:rPr>
        <w:t xml:space="preserve"> 1994;</w:t>
      </w:r>
      <w:r w:rsidR="00DC0EBE">
        <w:rPr>
          <w:rFonts w:ascii="Times New Roman" w:hAnsi="Times New Roman" w:cs="Times New Roman"/>
          <w:sz w:val="24"/>
          <w:szCs w:val="24"/>
        </w:rPr>
        <w:t xml:space="preserve"> </w:t>
      </w:r>
      <w:r w:rsidR="00DC0EBE" w:rsidRPr="00DC0EBE">
        <w:rPr>
          <w:rFonts w:ascii="Times New Roman" w:hAnsi="Times New Roman" w:cs="Times New Roman"/>
          <w:sz w:val="24"/>
          <w:szCs w:val="24"/>
        </w:rPr>
        <w:t>Bielefeld 1994</w:t>
      </w:r>
      <w:r w:rsidR="00DC0EBE">
        <w:rPr>
          <w:rFonts w:ascii="Times New Roman" w:hAnsi="Times New Roman" w:cs="Times New Roman"/>
          <w:sz w:val="24"/>
          <w:szCs w:val="24"/>
        </w:rPr>
        <w:t>;</w:t>
      </w:r>
      <w:r w:rsidR="00793044">
        <w:rPr>
          <w:rFonts w:ascii="Times New Roman" w:hAnsi="Times New Roman" w:cs="Times New Roman"/>
          <w:sz w:val="24"/>
          <w:szCs w:val="24"/>
        </w:rPr>
        <w:t xml:space="preserve"> </w:t>
      </w:r>
      <w:r w:rsidR="00DC0EBE">
        <w:rPr>
          <w:rFonts w:ascii="Times New Roman" w:hAnsi="Times New Roman" w:cs="Times New Roman"/>
          <w:sz w:val="24"/>
          <w:szCs w:val="24"/>
        </w:rPr>
        <w:t>Lu et al., 2019a</w:t>
      </w:r>
      <w:r w:rsidR="00793044">
        <w:rPr>
          <w:rFonts w:ascii="Times New Roman" w:hAnsi="Times New Roman" w:cs="Times New Roman"/>
          <w:sz w:val="24"/>
          <w:szCs w:val="24"/>
        </w:rPr>
        <w:t>).</w:t>
      </w:r>
      <w:r w:rsidR="009B63C6">
        <w:rPr>
          <w:rFonts w:ascii="Times New Roman" w:hAnsi="Times New Roman" w:cs="Times New Roman"/>
          <w:sz w:val="24"/>
          <w:szCs w:val="24"/>
        </w:rPr>
        <w:t xml:space="preserve"> </w:t>
      </w:r>
      <w:r w:rsidR="006F1D69">
        <w:rPr>
          <w:rFonts w:ascii="Times New Roman" w:hAnsi="Times New Roman" w:cs="Times New Roman"/>
          <w:sz w:val="24"/>
          <w:szCs w:val="24"/>
        </w:rPr>
        <w:t>This leads us to our next set of hypotheses:</w:t>
      </w:r>
    </w:p>
    <w:p w14:paraId="63DE861C" w14:textId="180A8AD2"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4: Younger charities are more likely to dissolve than older organisations</w:t>
      </w:r>
    </w:p>
    <w:p w14:paraId="677C46DF" w14:textId="2FDAA621" w:rsidR="006F1D69" w:rsidRDefault="006F1D69" w:rsidP="00602F3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5: Smaller charities have a higher likelihood of dissolution.</w:t>
      </w:r>
    </w:p>
    <w:p w14:paraId="456A42B4" w14:textId="4EF03831" w:rsidR="00D13749" w:rsidRDefault="00D13749"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factor confirmed as salient for understanding dissolution is </w:t>
      </w:r>
      <w:r w:rsidR="00F714A7">
        <w:rPr>
          <w:rFonts w:ascii="Times New Roman" w:hAnsi="Times New Roman" w:cs="Times New Roman"/>
          <w:sz w:val="24"/>
          <w:szCs w:val="24"/>
        </w:rPr>
        <w:t>organisational niche</w:t>
      </w:r>
      <w:r>
        <w:rPr>
          <w:rFonts w:ascii="Times New Roman" w:hAnsi="Times New Roman" w:cs="Times New Roman"/>
          <w:sz w:val="24"/>
          <w:szCs w:val="24"/>
        </w:rPr>
        <w:t>,</w:t>
      </w:r>
      <w:r w:rsidR="00F714A7">
        <w:rPr>
          <w:rFonts w:ascii="Times New Roman" w:hAnsi="Times New Roman" w:cs="Times New Roman"/>
          <w:sz w:val="24"/>
          <w:szCs w:val="24"/>
        </w:rPr>
        <w:t xml:space="preserve"> usually measured as the density of organisations in a field of activity</w:t>
      </w:r>
      <w:r>
        <w:rPr>
          <w:rFonts w:ascii="Times New Roman" w:hAnsi="Times New Roman" w:cs="Times New Roman"/>
          <w:sz w:val="24"/>
          <w:szCs w:val="24"/>
        </w:rPr>
        <w:t xml:space="preserve"> (e.g. housing, social services) or geographic location</w:t>
      </w:r>
      <w:r w:rsidR="00F714A7">
        <w:rPr>
          <w:rFonts w:ascii="Times New Roman" w:hAnsi="Times New Roman" w:cs="Times New Roman"/>
          <w:sz w:val="24"/>
          <w:szCs w:val="24"/>
        </w:rPr>
        <w:t xml:space="preserve"> (e.g. city, local authority, region)</w:t>
      </w:r>
      <w:r>
        <w:rPr>
          <w:rFonts w:ascii="Times New Roman" w:hAnsi="Times New Roman" w:cs="Times New Roman"/>
          <w:sz w:val="24"/>
          <w:szCs w:val="24"/>
        </w:rPr>
        <w:t>. [References supporting this.]</w:t>
      </w:r>
    </w:p>
    <w:p w14:paraId="438D5F13" w14:textId="6A046381" w:rsidR="00602F3A" w:rsidRDefault="00602F3A" w:rsidP="00DC0EBE">
      <w:pPr>
        <w:spacing w:line="480" w:lineRule="auto"/>
        <w:rPr>
          <w:rFonts w:ascii="Times New Roman" w:hAnsi="Times New Roman" w:cs="Times New Roman"/>
          <w:sz w:val="24"/>
          <w:szCs w:val="24"/>
        </w:rPr>
      </w:pPr>
      <w:r>
        <w:rPr>
          <w:rFonts w:ascii="Times New Roman" w:hAnsi="Times New Roman" w:cs="Times New Roman"/>
          <w:sz w:val="24"/>
          <w:szCs w:val="24"/>
        </w:rPr>
        <w:t xml:space="preserve">Hypothesis 6: </w:t>
      </w:r>
    </w:p>
    <w:p w14:paraId="67CC6EAD" w14:textId="21CC81C2" w:rsidR="002A361A" w:rsidRDefault="002A361A" w:rsidP="00DC0EBE">
      <w:pPr>
        <w:spacing w:line="480" w:lineRule="auto"/>
        <w:rPr>
          <w:rFonts w:ascii="Times New Roman" w:hAnsi="Times New Roman" w:cs="Times New Roman"/>
          <w:sz w:val="24"/>
          <w:szCs w:val="24"/>
        </w:rPr>
      </w:pPr>
      <w:r>
        <w:rPr>
          <w:rFonts w:ascii="Times New Roman" w:hAnsi="Times New Roman" w:cs="Times New Roman"/>
          <w:sz w:val="24"/>
          <w:szCs w:val="24"/>
        </w:rPr>
        <w:t>There are two additional organisational characteristics that we consider:</w:t>
      </w:r>
    </w:p>
    <w:p w14:paraId="243D76C7" w14:textId="111E9147" w:rsidR="00602F3A" w:rsidRDefault="00602F3A" w:rsidP="002A361A">
      <w:pPr>
        <w:spacing w:line="480" w:lineRule="auto"/>
        <w:ind w:left="720"/>
        <w:rPr>
          <w:rFonts w:ascii="Times New Roman" w:hAnsi="Times New Roman" w:cs="Times New Roman"/>
          <w:sz w:val="24"/>
          <w:szCs w:val="24"/>
        </w:rPr>
      </w:pPr>
      <w:r>
        <w:rPr>
          <w:rFonts w:ascii="Times New Roman" w:hAnsi="Times New Roman" w:cs="Times New Roman"/>
          <w:sz w:val="24"/>
          <w:szCs w:val="24"/>
        </w:rPr>
        <w:t>Hypothesis 7: The likelihood of dissolution varies across fields of activity (e.g.</w:t>
      </w:r>
      <w:r w:rsidR="000212E1">
        <w:rPr>
          <w:rFonts w:ascii="Times New Roman" w:hAnsi="Times New Roman" w:cs="Times New Roman"/>
          <w:sz w:val="24"/>
          <w:szCs w:val="24"/>
        </w:rPr>
        <w:t xml:space="preserve"> education, health</w:t>
      </w:r>
      <w:r>
        <w:rPr>
          <w:rFonts w:ascii="Times New Roman" w:hAnsi="Times New Roman" w:cs="Times New Roman"/>
          <w:sz w:val="24"/>
          <w:szCs w:val="24"/>
        </w:rPr>
        <w:t>) and beneficiary groups served (e.g. children and young people).</w:t>
      </w:r>
    </w:p>
    <w:p w14:paraId="19032AA0" w14:textId="3D83A927" w:rsidR="007355E1" w:rsidRPr="007355E1" w:rsidRDefault="007355E1" w:rsidP="00DC0EBE">
      <w:pPr>
        <w:spacing w:line="480" w:lineRule="auto"/>
        <w:rPr>
          <w:rFonts w:ascii="Times New Roman" w:hAnsi="Times New Roman" w:cs="Times New Roman"/>
          <w:i/>
          <w:sz w:val="24"/>
          <w:szCs w:val="24"/>
        </w:rPr>
      </w:pPr>
      <w:commentRangeStart w:id="1"/>
      <w:r w:rsidRPr="007355E1">
        <w:rPr>
          <w:rFonts w:ascii="Times New Roman" w:hAnsi="Times New Roman" w:cs="Times New Roman"/>
          <w:i/>
          <w:sz w:val="24"/>
          <w:szCs w:val="24"/>
        </w:rPr>
        <w:t>Other salient factors</w:t>
      </w:r>
      <w:commentRangeEnd w:id="1"/>
      <w:r>
        <w:rPr>
          <w:rStyle w:val="CommentReference"/>
        </w:rPr>
        <w:commentReference w:id="1"/>
      </w:r>
    </w:p>
    <w:p w14:paraId="7EFD0F96" w14:textId="77777777" w:rsidR="007355E1" w:rsidRPr="0059716A" w:rsidRDefault="007355E1" w:rsidP="00DC0EBE">
      <w:pPr>
        <w:spacing w:line="480" w:lineRule="auto"/>
        <w:rPr>
          <w:rFonts w:ascii="Times New Roman" w:hAnsi="Times New Roman" w:cs="Times New Roman"/>
          <w:sz w:val="24"/>
          <w:szCs w:val="24"/>
        </w:rPr>
      </w:pP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Methodology</w:t>
      </w:r>
    </w:p>
    <w:p w14:paraId="1D0CE414" w14:textId="49FF46C7" w:rsidR="006C3245" w:rsidRPr="0059716A" w:rsidRDefault="00D30C05"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 </w:t>
      </w:r>
      <w:r w:rsidR="006C3245" w:rsidRPr="0059716A">
        <w:rPr>
          <w:rFonts w:ascii="Times New Roman" w:hAnsi="Times New Roman" w:cs="Times New Roman"/>
          <w:sz w:val="24"/>
          <w:szCs w:val="24"/>
        </w:rPr>
        <w:t>The project is guided by two research questions:</w:t>
      </w:r>
    </w:p>
    <w:p w14:paraId="12968DC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is the rate of charity dissolution, and does it vary across jurisdictions?</w:t>
      </w:r>
    </w:p>
    <w:p w14:paraId="34CA2C8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factors predict mission accomplishment, and do they vary across other forms of charity dissolution?</w:t>
      </w:r>
    </w:p>
    <w:p w14:paraId="4B1B7FC7" w14:textId="3BB27C6B"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w:t>
      </w:r>
      <w:r w:rsidR="00D93FCE">
        <w:rPr>
          <w:rFonts w:ascii="Times New Roman" w:hAnsi="Times New Roman" w:cs="Times New Roman"/>
          <w:sz w:val="24"/>
          <w:szCs w:val="24"/>
        </w:rPr>
        <w:t xml:space="preserve">an </w:t>
      </w:r>
      <w:r w:rsidRPr="0059716A">
        <w:rPr>
          <w:rFonts w:ascii="Times New Roman" w:hAnsi="Times New Roman" w:cs="Times New Roman"/>
          <w:sz w:val="24"/>
          <w:szCs w:val="24"/>
        </w:rPr>
        <w:t>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commentRangeStart w:id="2"/>
      <w:r w:rsidRPr="0059716A">
        <w:rPr>
          <w:rFonts w:ascii="Times New Roman" w:hAnsi="Times New Roman" w:cs="Times New Roman"/>
          <w:b/>
          <w:sz w:val="24"/>
          <w:szCs w:val="24"/>
        </w:rPr>
        <w:t>Data</w:t>
      </w:r>
      <w:commentRangeEnd w:id="2"/>
      <w:r w:rsidR="00122969">
        <w:rPr>
          <w:rStyle w:val="CommentReference"/>
        </w:rPr>
        <w:commentReference w:id="2"/>
      </w:r>
    </w:p>
    <w:p w14:paraId="0E3F61DE" w14:textId="638FEF03" w:rsidR="00DC6689" w:rsidRDefault="0096349D"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To answer the research questions we construct a cross-sectional data set of registered charities by </w:t>
      </w:r>
      <w:r w:rsidR="0026237C">
        <w:rPr>
          <w:rFonts w:ascii="Times New Roman" w:hAnsi="Times New Roman" w:cs="Times New Roman"/>
          <w:sz w:val="24"/>
          <w:szCs w:val="24"/>
        </w:rPr>
        <w:t xml:space="preserve">downloading and </w:t>
      </w:r>
      <w:r w:rsidRPr="0059716A">
        <w:rPr>
          <w:rFonts w:ascii="Times New Roman" w:hAnsi="Times New Roman" w:cs="Times New Roman"/>
          <w:sz w:val="24"/>
          <w:szCs w:val="24"/>
        </w:rPr>
        <w:t xml:space="preserve">linking multiple regulatory data files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Pr="0059716A">
        <w:rPr>
          <w:rFonts w:ascii="Times New Roman" w:hAnsi="Times New Roman" w:cs="Times New Roman"/>
          <w:sz w:val="24"/>
          <w:szCs w:val="24"/>
        </w:rPr>
        <w:t xml:space="preserve"> First, our primary data source is the register of charities, a census of all organisations that have at some point been registered with the New Zealand regulator as of 20</w:t>
      </w:r>
      <w:r w:rsidRPr="0059716A">
        <w:rPr>
          <w:rFonts w:ascii="Times New Roman" w:hAnsi="Times New Roman" w:cs="Times New Roman"/>
          <w:sz w:val="24"/>
          <w:szCs w:val="24"/>
          <w:vertAlign w:val="superscript"/>
        </w:rPr>
        <w:t>th</w:t>
      </w:r>
      <w:r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 xml:space="preserve"> (c. 37,000)</w:t>
      </w:r>
      <w:r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organisational type, street address etc (though no financial information beyond annual return due dates). Second, we link 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w:t>
      </w:r>
      <w:r w:rsidR="0082286F" w:rsidRPr="0059716A">
        <w:rPr>
          <w:rFonts w:ascii="Times New Roman" w:hAnsi="Times New Roman" w:cs="Times New Roman"/>
          <w:sz w:val="24"/>
          <w:szCs w:val="24"/>
        </w:rPr>
        <w:lastRenderedPageBreak/>
        <w:t>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c. 190,000 returns over the period 2007-2019) and operationalise a number of measures of interest (e.g. average annual gross income), which are then linked to the primary data source via a chari</w:t>
      </w:r>
      <w:r w:rsidR="0054565C">
        <w:rPr>
          <w:rFonts w:ascii="Times New Roman" w:hAnsi="Times New Roman" w:cs="Times New Roman"/>
          <w:sz w:val="24"/>
          <w:szCs w:val="24"/>
        </w:rPr>
        <w:t>ty’ unique registration number.</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66B605B7"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 data. Finally, we drop observations for which there is missing or clearly erroneous data for the independent variables (e.g. negative annual gross income). The final sample is composed on </w:t>
      </w:r>
      <w:r w:rsidRPr="0059716A">
        <w:rPr>
          <w:rFonts w:ascii="Times New Roman" w:hAnsi="Times New Roman" w:cs="Times New Roman"/>
          <w:i/>
          <w:sz w:val="24"/>
          <w:szCs w:val="24"/>
        </w:rPr>
        <w:t xml:space="preserve">n </w:t>
      </w:r>
      <w:r w:rsidRPr="0059716A">
        <w:rPr>
          <w:rFonts w:ascii="Times New Roman" w:hAnsi="Times New Roman" w:cs="Times New Roman"/>
          <w:sz w:val="24"/>
          <w:szCs w:val="24"/>
        </w:rPr>
        <w:t>observations for the same number of charities – see table # in the appendices for full details of the sample building process.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185FC4C0" w14:textId="1CD3F7FD" w:rsidR="005C5DA0" w:rsidRPr="0059716A" w:rsidRDefault="006D084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Many nonprofit regulators have a mandate to construct and maintain an accurate, complete and public register of organisations that currently </w:t>
      </w:r>
      <w:r w:rsidR="00AA52E1" w:rsidRPr="0059716A">
        <w:rPr>
          <w:rFonts w:ascii="Times New Roman" w:hAnsi="Times New Roman" w:cs="Times New Roman"/>
          <w:sz w:val="24"/>
          <w:szCs w:val="24"/>
        </w:rPr>
        <w:t>possess</w:t>
      </w:r>
      <w:r w:rsidRPr="0059716A">
        <w:rPr>
          <w:rFonts w:ascii="Times New Roman" w:hAnsi="Times New Roman" w:cs="Times New Roman"/>
          <w:sz w:val="24"/>
          <w:szCs w:val="24"/>
        </w:rPr>
        <w:t xml:space="preserve"> charity status. In addi</w:t>
      </w:r>
      <w:r w:rsidR="00AA52E1" w:rsidRPr="0059716A">
        <w:rPr>
          <w:rFonts w:ascii="Times New Roman" w:hAnsi="Times New Roman" w:cs="Times New Roman"/>
          <w:sz w:val="24"/>
          <w:szCs w:val="24"/>
        </w:rPr>
        <w:t>tion these regulators will</w:t>
      </w:r>
      <w:r w:rsidRPr="0059716A">
        <w:rPr>
          <w:rFonts w:ascii="Times New Roman" w:hAnsi="Times New Roman" w:cs="Times New Roman"/>
          <w:sz w:val="24"/>
          <w:szCs w:val="24"/>
        </w:rPr>
        <w:t xml:space="preserve"> retain, though sometimes not share, the list of organisations no longer registered as charities. There is considerable variation across jurisdictions in how charity deregistration is recorded: some regulators do not disaggregate between the different forms (</w:t>
      </w:r>
      <w:r w:rsidR="000620CB">
        <w:rPr>
          <w:rFonts w:ascii="Times New Roman" w:hAnsi="Times New Roman" w:cs="Times New Roman"/>
          <w:sz w:val="24"/>
          <w:szCs w:val="24"/>
        </w:rPr>
        <w:t xml:space="preserve">e.g. </w:t>
      </w:r>
      <w:r w:rsidRPr="0059716A">
        <w:rPr>
          <w:rFonts w:ascii="Times New Roman" w:hAnsi="Times New Roman" w:cs="Times New Roman"/>
          <w:sz w:val="24"/>
          <w:szCs w:val="24"/>
        </w:rPr>
        <w:t>Scotland, Republic of Ireland, Northern Ireland</w:t>
      </w:r>
      <w:r w:rsidR="00F724C8" w:rsidRPr="0059716A">
        <w:rPr>
          <w:rFonts w:ascii="Times New Roman" w:hAnsi="Times New Roman" w:cs="Times New Roman"/>
          <w:sz w:val="24"/>
          <w:szCs w:val="24"/>
        </w:rPr>
        <w:t>), while others differentiate at least to some degree (</w:t>
      </w:r>
      <w:r w:rsidR="000620CB">
        <w:rPr>
          <w:rFonts w:ascii="Times New Roman" w:hAnsi="Times New Roman" w:cs="Times New Roman"/>
          <w:sz w:val="24"/>
          <w:szCs w:val="24"/>
        </w:rPr>
        <w:t xml:space="preserve">e.g. </w:t>
      </w:r>
      <w:r w:rsidR="00F724C8" w:rsidRPr="0059716A">
        <w:rPr>
          <w:rFonts w:ascii="Times New Roman" w:hAnsi="Times New Roman" w:cs="Times New Roman"/>
          <w:sz w:val="24"/>
          <w:szCs w:val="24"/>
        </w:rPr>
        <w:t>England &amp; Wales, Canada, New Zealand, Australia).</w:t>
      </w:r>
      <w:r w:rsidRPr="0059716A">
        <w:rPr>
          <w:rFonts w:ascii="Times New Roman" w:hAnsi="Times New Roman" w:cs="Times New Roman"/>
          <w:sz w:val="24"/>
          <w:szCs w:val="24"/>
        </w:rPr>
        <w:t xml:space="preserve"> </w:t>
      </w:r>
    </w:p>
    <w:p w14:paraId="0CCD508B" w14:textId="2864F73D" w:rsidR="00A37E00" w:rsidRPr="000620CB" w:rsidRDefault="00420A06" w:rsidP="000620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5C5DA0" w:rsidRPr="0059716A">
        <w:rPr>
          <w:rFonts w:ascii="Times New Roman" w:hAnsi="Times New Roman" w:cs="Times New Roman"/>
          <w:sz w:val="24"/>
          <w:szCs w:val="24"/>
        </w:rPr>
        <w:t xml:space="preserve">e </w:t>
      </w:r>
      <w:r>
        <w:rPr>
          <w:rFonts w:ascii="Times New Roman" w:hAnsi="Times New Roman" w:cs="Times New Roman"/>
          <w:sz w:val="24"/>
          <w:szCs w:val="24"/>
        </w:rPr>
        <w:t>define dissolution as the state of being deregistered with the charity regulator in New Zealand</w:t>
      </w:r>
      <w:r w:rsidR="005C5DA0" w:rsidRPr="0059716A">
        <w:rPr>
          <w:rFonts w:ascii="Times New Roman" w:hAnsi="Times New Roman" w:cs="Times New Roman"/>
          <w:sz w:val="24"/>
          <w:szCs w:val="24"/>
        </w:rPr>
        <w:t xml:space="preserve">: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Pr>
          <w:rFonts w:ascii="Times New Roman" w:hAnsi="Times New Roman" w:cs="Times New Roman"/>
          <w:sz w:val="24"/>
          <w:szCs w:val="24"/>
        </w:rPr>
        <w:t xml:space="preserve">Within this conceptualisation we define mission completion as a charity that was voluntarily dissolved i.e. an organisation that no longer possesses charity status and no longer operates in any other organisational form. This is a limited but necessary operationalisation due to the data available to us.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the group of deregistered charities by reason for dissolution. To differentiate based on dissolution reason, we use regular expressions to extract the section of the Act a charity was deregistered under from the relevant field in the data </w:t>
      </w:r>
      <w:r w:rsidR="004737EF">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 below describes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`orgdiss`</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08B1BBC7"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lastRenderedPageBreak/>
        <w:t>Note: there are other types of dissolution (e.g. mergers) that occur infrequently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612F074E" w:rsidR="004C231A" w:rsidRPr="002C34E3"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 the number of years a charity has been registered with the regulator (we are unable to tell when an organisation was founded).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is a categorical measure of a charity’s regulatory form: “standard”, “society or institution”, and “trustees of a trust” are the three valid values for this variable.</w:t>
      </w:r>
      <w:r w:rsidR="00A85E55">
        <w:rPr>
          <w:rFonts w:ascii="Times New Roman" w:hAnsi="Times New Roman" w:cs="Times New Roman"/>
          <w:sz w:val="24"/>
          <w:szCs w:val="24"/>
        </w:rPr>
        <w:t xml:space="preserve"> </w:t>
      </w:r>
      <w:r w:rsidR="00A85E55" w:rsidRPr="00A85E55">
        <w:rPr>
          <w:rFonts w:ascii="Times New Roman" w:hAnsi="Times New Roman" w:cs="Times New Roman"/>
          <w:sz w:val="24"/>
          <w:szCs w:val="24"/>
        </w:rPr>
        <w:t>Charities are not required to take any form of incorporation; those that do may be established as a Charitable Trust</w:t>
      </w:r>
      <w:r w:rsidR="009E4F8A">
        <w:rPr>
          <w:rFonts w:ascii="Times New Roman" w:hAnsi="Times New Roman" w:cs="Times New Roman"/>
          <w:sz w:val="24"/>
          <w:szCs w:val="24"/>
        </w:rPr>
        <w:t xml:space="preserve"> (registered under the Charitable Trusts Act 1956 either as an unincorporated charitable trust or incorporated as a Charitable Trust Board</w:t>
      </w:r>
      <w:r w:rsidR="00A43C25">
        <w:rPr>
          <w:rFonts w:ascii="Times New Roman" w:hAnsi="Times New Roman" w:cs="Times New Roman"/>
          <w:sz w:val="24"/>
          <w:szCs w:val="24"/>
        </w:rPr>
        <w:t>, accounting for c.</w:t>
      </w:r>
      <w:r w:rsidR="009E4F8A">
        <w:rPr>
          <w:rFonts w:ascii="Times New Roman" w:hAnsi="Times New Roman" w:cs="Times New Roman"/>
          <w:sz w:val="24"/>
          <w:szCs w:val="24"/>
        </w:rPr>
        <w:t xml:space="preserve"> 60%</w:t>
      </w:r>
      <w:r w:rsidR="00A43C25">
        <w:rPr>
          <w:rFonts w:ascii="Times New Roman" w:hAnsi="Times New Roman" w:cs="Times New Roman"/>
          <w:sz w:val="24"/>
          <w:szCs w:val="24"/>
        </w:rPr>
        <w:t xml:space="preserve"> of incorporated bodies</w:t>
      </w:r>
      <w:r w:rsidR="009E4F8A">
        <w:rPr>
          <w:rFonts w:ascii="Times New Roman" w:hAnsi="Times New Roman" w:cs="Times New Roman"/>
          <w:sz w:val="24"/>
          <w:szCs w:val="24"/>
        </w:rPr>
        <w:t>)</w:t>
      </w:r>
      <w:r w:rsidR="00A85E55" w:rsidRPr="00A85E55">
        <w:rPr>
          <w:rFonts w:ascii="Times New Roman" w:hAnsi="Times New Roman" w:cs="Times New Roman"/>
          <w:sz w:val="24"/>
          <w:szCs w:val="24"/>
        </w:rPr>
        <w:t>, Incorporated Society</w:t>
      </w:r>
      <w:r w:rsidR="009E4F8A">
        <w:rPr>
          <w:rFonts w:ascii="Times New Roman" w:hAnsi="Times New Roman" w:cs="Times New Roman"/>
          <w:sz w:val="24"/>
          <w:szCs w:val="24"/>
        </w:rPr>
        <w:t xml:space="preserve"> (registered under the Incorporated Societies’ Act 1908 – about 31%)</w:t>
      </w:r>
      <w:r w:rsidR="00A85E55" w:rsidRPr="00A85E55">
        <w:rPr>
          <w:rFonts w:ascii="Times New Roman" w:hAnsi="Times New Roman" w:cs="Times New Roman"/>
          <w:sz w:val="24"/>
          <w:szCs w:val="24"/>
        </w:rPr>
        <w:t xml:space="preserve">, </w:t>
      </w:r>
      <w:r w:rsidR="009E4F8A">
        <w:rPr>
          <w:rFonts w:ascii="Times New Roman" w:hAnsi="Times New Roman" w:cs="Times New Roman"/>
          <w:sz w:val="24"/>
          <w:szCs w:val="24"/>
        </w:rPr>
        <w:t xml:space="preserve">a </w:t>
      </w:r>
      <w:r w:rsidR="00A85E55" w:rsidRPr="00A85E55">
        <w:rPr>
          <w:rFonts w:ascii="Times New Roman" w:hAnsi="Times New Roman" w:cs="Times New Roman"/>
          <w:sz w:val="24"/>
          <w:szCs w:val="24"/>
        </w:rPr>
        <w:t xml:space="preserve">Limited Liability Company </w:t>
      </w:r>
      <w:r w:rsidR="009E4F8A">
        <w:rPr>
          <w:rFonts w:ascii="Times New Roman" w:hAnsi="Times New Roman" w:cs="Times New Roman"/>
          <w:sz w:val="24"/>
          <w:szCs w:val="24"/>
        </w:rPr>
        <w:t xml:space="preserve">(registered under the Companies Act 2013 or its precursors about 1%), </w:t>
      </w:r>
      <w:r w:rsidR="00A85E55" w:rsidRPr="00A85E55">
        <w:rPr>
          <w:rFonts w:ascii="Times New Roman" w:hAnsi="Times New Roman" w:cs="Times New Roman"/>
          <w:sz w:val="24"/>
          <w:szCs w:val="24"/>
        </w:rPr>
        <w:t>or by a specific Act of Parliament.</w:t>
      </w:r>
      <w:r w:rsidR="00E5560D">
        <w:rPr>
          <w:rFonts w:ascii="Times New Roman" w:hAnsi="Times New Roman" w:cs="Times New Roman"/>
          <w:sz w:val="24"/>
          <w:szCs w:val="24"/>
        </w:rPr>
        <w:t xml:space="preserve"> </w:t>
      </w:r>
      <w:r w:rsidR="009E4F8A">
        <w:rPr>
          <w:rFonts w:ascii="Times New Roman" w:hAnsi="Times New Roman" w:cs="Times New Roman"/>
          <w:sz w:val="24"/>
          <w:szCs w:val="24"/>
        </w:rPr>
        <w:t xml:space="preserve">The incorporated bodies enjoy limited liability, with </w:t>
      </w:r>
      <w:r w:rsidR="009E4F8A" w:rsidRPr="009E4F8A">
        <w:rPr>
          <w:rFonts w:ascii="Times New Roman" w:hAnsi="Times New Roman" w:cs="Times New Roman"/>
          <w:sz w:val="24"/>
          <w:szCs w:val="24"/>
        </w:rPr>
        <w:t xml:space="preserve">incorporated societies </w:t>
      </w:r>
      <w:r w:rsidR="009E4F8A">
        <w:rPr>
          <w:rFonts w:ascii="Times New Roman" w:hAnsi="Times New Roman" w:cs="Times New Roman"/>
          <w:sz w:val="24"/>
          <w:szCs w:val="24"/>
        </w:rPr>
        <w:t xml:space="preserve">being required to have minimum </w:t>
      </w:r>
      <w:r w:rsidR="009E4F8A" w:rsidRPr="009E4F8A">
        <w:rPr>
          <w:rFonts w:ascii="Times New Roman" w:hAnsi="Times New Roman" w:cs="Times New Roman"/>
          <w:sz w:val="24"/>
          <w:szCs w:val="24"/>
        </w:rPr>
        <w:t xml:space="preserve">membership </w:t>
      </w:r>
      <w:r w:rsidR="009E4F8A">
        <w:rPr>
          <w:rFonts w:ascii="Times New Roman" w:hAnsi="Times New Roman" w:cs="Times New Roman"/>
          <w:sz w:val="24"/>
          <w:szCs w:val="24"/>
        </w:rPr>
        <w:t>before incorporation, while trustees of unincorporated trusts are personally liable for any debts or contracts that such bodies could enter into (Crawford et al., 2014).</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6A8C36A5"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We draw on two core theories – population ecology and resource dependence – as well as prior empirical work to develop our theoretical framework. </w:t>
      </w:r>
      <w:r w:rsidR="00950756">
        <w:rPr>
          <w:rFonts w:ascii="Times New Roman" w:hAnsi="Times New Roman" w:cs="Times New Roman"/>
          <w:sz w:val="24"/>
          <w:szCs w:val="24"/>
        </w:rPr>
        <w:t>We use this framework to operationalise eleven explanatory variables – see t</w:t>
      </w:r>
      <w:r>
        <w:rPr>
          <w:rFonts w:ascii="Times New Roman" w:hAnsi="Times New Roman" w:cs="Times New Roman"/>
          <w:sz w:val="24"/>
          <w:szCs w:val="24"/>
        </w:rPr>
        <w:t xml:space="preserve">able # </w:t>
      </w:r>
      <w:r w:rsidR="00950756">
        <w:rPr>
          <w:rFonts w:ascii="Times New Roman" w:hAnsi="Times New Roman" w:cs="Times New Roman"/>
          <w:sz w:val="24"/>
          <w:szCs w:val="24"/>
        </w:rPr>
        <w:t>for how these</w:t>
      </w:r>
      <w:r>
        <w:rPr>
          <w:rFonts w:ascii="Times New Roman" w:hAnsi="Times New Roman" w:cs="Times New Roman"/>
          <w:sz w:val="24"/>
          <w:szCs w:val="24"/>
        </w:rPr>
        <w:t xml:space="preserve"> </w:t>
      </w:r>
      <w:r w:rsidR="00950756">
        <w:rPr>
          <w:rFonts w:ascii="Times New Roman" w:hAnsi="Times New Roman" w:cs="Times New Roman"/>
          <w:sz w:val="24"/>
          <w:szCs w:val="24"/>
        </w:rPr>
        <w:lastRenderedPageBreak/>
        <w:t>variables map to the</w:t>
      </w:r>
      <w:r>
        <w:rPr>
          <w:rFonts w:ascii="Times New Roman" w:hAnsi="Times New Roman" w:cs="Times New Roman"/>
          <w:sz w:val="24"/>
          <w:szCs w:val="24"/>
        </w:rPr>
        <w:t xml:space="preserve"> </w:t>
      </w:r>
      <w:r w:rsidR="00950756">
        <w:rPr>
          <w:rFonts w:ascii="Times New Roman" w:hAnsi="Times New Roman" w:cs="Times New Roman"/>
          <w:sz w:val="24"/>
          <w:szCs w:val="24"/>
        </w:rPr>
        <w:t>theoretical</w:t>
      </w:r>
      <w:r>
        <w:rPr>
          <w:rFonts w:ascii="Times New Roman" w:hAnsi="Times New Roman" w:cs="Times New Roman"/>
          <w:sz w:val="24"/>
          <w:szCs w:val="24"/>
        </w:rPr>
        <w:t xml:space="preserve"> framework.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w:t>
      </w:r>
      <w:r w:rsidR="00DE4362">
        <w:rPr>
          <w:rFonts w:ascii="Times New Roman" w:hAnsi="Times New Roman" w:cs="Times New Roman"/>
          <w:sz w:val="24"/>
          <w:szCs w:val="24"/>
        </w:rPr>
        <w:t xml:space="preserve">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DE4362">
        <w:rPr>
          <w:rFonts w:ascii="Times New Roman" w:hAnsi="Times New Roman" w:cs="Times New Roman"/>
          <w:sz w:val="24"/>
          <w:szCs w:val="24"/>
        </w:rPr>
        <w:t xml:space="preserve">main economic sector,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33462709"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25544C21" w14:textId="517B9812" w:rsidR="00D270FA" w:rsidRDefault="00D270FA" w:rsidP="0059716A">
      <w:pPr>
        <w:spacing w:line="480" w:lineRule="auto"/>
        <w:rPr>
          <w:rFonts w:ascii="Times New Roman" w:hAnsi="Times New Roman" w:cs="Times New Roman"/>
          <w:sz w:val="24"/>
          <w:szCs w:val="24"/>
        </w:rPr>
      </w:pPr>
      <w:r>
        <w:rPr>
          <w:rFonts w:ascii="Times New Roman" w:hAnsi="Times New Roman" w:cs="Times New Roman"/>
          <w:sz w:val="24"/>
          <w:szCs w:val="24"/>
        </w:rPr>
        <w:t>[Insert paragraph describing sample summary statistics]</w:t>
      </w:r>
    </w:p>
    <w:p w14:paraId="0D85DB16" w14:textId="493F5163" w:rsidR="00BB37BB" w:rsidRPr="00D270FA" w:rsidRDefault="00BB37BB" w:rsidP="0059716A">
      <w:pPr>
        <w:spacing w:line="480" w:lineRule="auto"/>
        <w:rPr>
          <w:rFonts w:ascii="Times New Roman" w:hAnsi="Times New Roman" w:cs="Times New Roman"/>
          <w:sz w:val="24"/>
          <w:szCs w:val="24"/>
        </w:rPr>
      </w:pPr>
      <w:r>
        <w:rPr>
          <w:rFonts w:ascii="Times New Roman" w:hAnsi="Times New Roman" w:cs="Times New Roman"/>
          <w:sz w:val="24"/>
          <w:szCs w:val="24"/>
        </w:rPr>
        <w:t>Figure 1 presents the total number of dissolutions by each type and year in the data. [Interpret trends – Carolyn, why the step trend in Failure to file?]</w:t>
      </w:r>
      <w:bookmarkStart w:id="3" w:name="_GoBack"/>
      <w:bookmarkEnd w:id="3"/>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4ACB9D39" w:rsidR="00523A6D" w:rsidRPr="00523A6D" w:rsidRDefault="00D12D7A"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005B7112" wp14:editId="7327FAE1">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z_cunum_orgdiss_.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t>Statistical Modelling</w:t>
      </w:r>
    </w:p>
    <w:p w14:paraId="65223298" w14:textId="59CF9294" w:rsidR="00883E38" w:rsidRDefault="00B55D2D"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the results of the regression analyses, Table # contains descriptive statistics for the independent variables included in the models. </w:t>
      </w:r>
      <w:r w:rsidRPr="002B6782">
        <w:rPr>
          <w:rFonts w:ascii="Times New Roman" w:hAnsi="Times New Roman" w:cs="Times New Roman"/>
          <w:sz w:val="24"/>
          <w:szCs w:val="24"/>
        </w:rPr>
        <w:t>The presence of multicollinearity among the independent variables in the model was examined by calculating the variance inflation</w:t>
      </w:r>
      <w:r w:rsidR="00997C8B">
        <w:rPr>
          <w:rFonts w:ascii="Times New Roman" w:hAnsi="Times New Roman" w:cs="Times New Roman"/>
          <w:sz w:val="24"/>
          <w:szCs w:val="24"/>
        </w:rPr>
        <w:t xml:space="preserve"> factors (VIF): mean VIF is 1.14</w:t>
      </w:r>
      <w:r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Pr="002B6782">
        <w:rPr>
          <w:rFonts w:ascii="Times New Roman" w:hAnsi="Times New Roman" w:cs="Times New Roman"/>
          <w:sz w:val="24"/>
          <w:szCs w:val="24"/>
        </w:rPr>
        <w:t xml:space="preserve">, below the threshold at which Allison (1999) suggests multicollinearity is problematic. </w:t>
      </w:r>
      <w:r>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Pr>
          <w:rFonts w:ascii="Times New Roman" w:hAnsi="Times New Roman" w:cs="Times New Roman"/>
          <w:sz w:val="24"/>
          <w:szCs w:val="24"/>
        </w:rPr>
        <w:t>2016).</w:t>
      </w:r>
    </w:p>
    <w:p w14:paraId="0AED8C0D" w14:textId="6904D4C9" w:rsidR="00EE0A76" w:rsidRDefault="00C53521" w:rsidP="00C53521">
      <w:pPr>
        <w:spacing w:line="480" w:lineRule="auto"/>
        <w:rPr>
          <w:rFonts w:ascii="Times New Roman" w:hAnsi="Times New Roman" w:cs="Times New Roman"/>
          <w:b/>
          <w:sz w:val="24"/>
          <w:szCs w:val="24"/>
        </w:rPr>
      </w:pPr>
      <w:r>
        <w:rPr>
          <w:rFonts w:ascii="Times New Roman" w:hAnsi="Times New Roman" w:cs="Times New Roman"/>
          <w:sz w:val="24"/>
          <w:szCs w:val="24"/>
        </w:rPr>
        <w:t xml:space="preserve">Table # below reports the results of the logistic regression on whether a charity is dissolved or not. </w:t>
      </w:r>
      <w:r w:rsidR="00C02F32">
        <w:rPr>
          <w:rFonts w:ascii="Times New Roman" w:hAnsi="Times New Roman" w:cs="Times New Roman"/>
          <w:sz w:val="24"/>
          <w:szCs w:val="24"/>
        </w:rPr>
        <w:t>W</w:t>
      </w:r>
      <w:r>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w:t>
      </w:r>
      <w:r>
        <w:rPr>
          <w:rFonts w:ascii="Times New Roman" w:hAnsi="Times New Roman" w:cs="Times New Roman"/>
          <w:sz w:val="24"/>
          <w:szCs w:val="24"/>
        </w:rPr>
        <w:lastRenderedPageBreak/>
        <w:t xml:space="preserve">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083596F9" w:rsidR="00EE0A76" w:rsidRPr="00EE0A76" w:rsidRDefault="00EE0A76" w:rsidP="00EE0A76">
      <w:pPr>
        <w:spacing w:line="480" w:lineRule="auto"/>
        <w:rPr>
          <w:rFonts w:ascii="Times New Roman" w:hAnsi="Times New Roman" w:cs="Times New Roman"/>
          <w:sz w:val="24"/>
          <w:szCs w:val="24"/>
        </w:rPr>
      </w:pPr>
      <w:r w:rsidRPr="00EE0A76">
        <w:rPr>
          <w:rFonts w:ascii="Times New Roman" w:hAnsi="Times New Roman" w:cs="Times New Roman"/>
          <w:b/>
          <w:sz w:val="24"/>
          <w:szCs w:val="24"/>
        </w:rPr>
        <w:t>Table #.</w:t>
      </w:r>
      <w:r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42EB13C7" w14:textId="77777777" w:rsidTr="00A85E55">
        <w:trPr>
          <w:trHeight w:val="227"/>
        </w:trPr>
        <w:tc>
          <w:tcPr>
            <w:tcW w:w="1492" w:type="pct"/>
            <w:tcBorders>
              <w:top w:val="nil"/>
              <w:left w:val="nil"/>
              <w:bottom w:val="nil"/>
              <w:right w:val="nil"/>
            </w:tcBorders>
          </w:tcPr>
          <w:p w14:paraId="65C44FC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3735B573"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227ED80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732DA9C"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74F990D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536D08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55B12823" w14:textId="77777777" w:rsidTr="00A85E55">
        <w:trPr>
          <w:trHeight w:val="227"/>
        </w:trPr>
        <w:tc>
          <w:tcPr>
            <w:tcW w:w="1492" w:type="pct"/>
            <w:tcBorders>
              <w:top w:val="nil"/>
              <w:left w:val="nil"/>
              <w:bottom w:val="nil"/>
              <w:right w:val="nil"/>
            </w:tcBorders>
          </w:tcPr>
          <w:p w14:paraId="4F62845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17D0A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0508B01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3958F35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247B5FC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2C15A6E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5CE00C39" w14:textId="77777777" w:rsidTr="00A85E55">
        <w:trPr>
          <w:trHeight w:val="227"/>
        </w:trPr>
        <w:tc>
          <w:tcPr>
            <w:tcW w:w="1492" w:type="pct"/>
            <w:tcBorders>
              <w:top w:val="nil"/>
              <w:left w:val="nil"/>
              <w:bottom w:val="nil"/>
              <w:right w:val="nil"/>
            </w:tcBorders>
          </w:tcPr>
          <w:p w14:paraId="085DAB5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0C8326A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1E6E02A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7D676B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396A9C4"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45FB831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0.18</w:t>
            </w:r>
          </w:p>
        </w:tc>
      </w:tr>
      <w:tr w:rsidR="00EE0A76" w:rsidRPr="004E5BE2" w14:paraId="34650438" w14:textId="77777777" w:rsidTr="00A85E55">
        <w:trPr>
          <w:trHeight w:val="227"/>
        </w:trPr>
        <w:tc>
          <w:tcPr>
            <w:tcW w:w="1492" w:type="pct"/>
            <w:tcBorders>
              <w:top w:val="nil"/>
              <w:left w:val="nil"/>
              <w:bottom w:val="nil"/>
              <w:right w:val="nil"/>
            </w:tcBorders>
          </w:tcPr>
          <w:p w14:paraId="1A41D9E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B5020D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C07E5D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560942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3C5A0FA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6617A6C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0.20</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E0A76" w:rsidRPr="004E5BE2" w14:paraId="5D5A0431" w14:textId="77777777" w:rsidTr="00A85E55">
        <w:trPr>
          <w:trHeight w:val="227"/>
        </w:trPr>
        <w:tc>
          <w:tcPr>
            <w:tcW w:w="1492" w:type="pct"/>
            <w:tcBorders>
              <w:top w:val="nil"/>
              <w:left w:val="nil"/>
              <w:bottom w:val="nil"/>
              <w:right w:val="nil"/>
            </w:tcBorders>
          </w:tcPr>
          <w:p w14:paraId="16C1735B" w14:textId="77777777" w:rsidR="00EE0A76" w:rsidRPr="004E5BE2" w:rsidRDefault="00EE0A76" w:rsidP="00A85E55">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lastRenderedPageBreak/>
              <w:t>n</w:t>
            </w:r>
          </w:p>
        </w:tc>
        <w:tc>
          <w:tcPr>
            <w:tcW w:w="1256" w:type="pct"/>
            <w:tcBorders>
              <w:top w:val="nil"/>
              <w:left w:val="nil"/>
              <w:bottom w:val="nil"/>
              <w:right w:val="nil"/>
            </w:tcBorders>
          </w:tcPr>
          <w:p w14:paraId="16731898"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30,656</w:t>
            </w:r>
          </w:p>
        </w:tc>
        <w:tc>
          <w:tcPr>
            <w:tcW w:w="549" w:type="pct"/>
            <w:tcBorders>
              <w:top w:val="nil"/>
              <w:left w:val="nil"/>
              <w:bottom w:val="nil"/>
              <w:right w:val="nil"/>
            </w:tcBorders>
          </w:tcPr>
          <w:p w14:paraId="3B1495A8"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McKelvey and Zavoina’s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Cragg and Uhler’s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bl>
    <w:p w14:paraId="7761D0B8" w14:textId="77FDCA7F" w:rsidR="00523A6D" w:rsidRPr="00001DA0" w:rsidRDefault="00EE0A76" w:rsidP="00001DA0">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099F5DA5" w14:textId="08FDC842"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r w:rsidR="00001DA0">
        <w:rPr>
          <w:rFonts w:ascii="Times New Roman" w:hAnsi="Times New Roman" w:cs="Times New Roman"/>
          <w:sz w:val="24"/>
          <w:szCs w:val="24"/>
        </w:rPr>
        <w:t xml:space="preserve"> Figure 2 and Table 3 present the results of the multinomial regression. There is clear variation in the magnitude, and often sign, of the predictors across categories of dissolution. For example, the coefficient for operating internationally is positive for the outcome of voluntary removal, negative for the outcome of failure to file, and statistically significantly indistinguishable from zero for the outcome of winding up. Contrast this with the coefficient for this variable in the logistic regression model, which estimates a negligible effect for the outcome of </w:t>
      </w:r>
      <w:r w:rsidR="000F2EA4">
        <w:rPr>
          <w:rFonts w:ascii="Times New Roman" w:hAnsi="Times New Roman" w:cs="Times New Roman"/>
          <w:sz w:val="24"/>
          <w:szCs w:val="24"/>
        </w:rPr>
        <w:t>deregistration</w:t>
      </w:r>
      <w:r w:rsidR="00001DA0">
        <w:rPr>
          <w:rFonts w:ascii="Times New Roman" w:hAnsi="Times New Roman" w:cs="Times New Roman"/>
          <w:sz w:val="24"/>
          <w:szCs w:val="24"/>
        </w:rPr>
        <w:t>.</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0EE4009" w14:textId="77777777" w:rsidR="00E904EC" w:rsidRPr="004E5BE2" w:rsidRDefault="00E904EC" w:rsidP="00E904EC">
      <w:pPr>
        <w:spacing w:line="480" w:lineRule="auto"/>
        <w:rPr>
          <w:rFonts w:ascii="Times New Roman" w:hAnsi="Times New Roman" w:cs="Times New Roman"/>
        </w:rPr>
      </w:pPr>
      <w:r w:rsidRPr="004E5BE2">
        <w:rPr>
          <w:rFonts w:ascii="Times New Roman" w:hAnsi="Times New Roman" w:cs="Times New Roman"/>
          <w:b/>
        </w:rPr>
        <w:t>Table #.</w:t>
      </w:r>
      <w:r w:rsidRPr="004E5BE2">
        <w:rPr>
          <w:rFonts w:ascii="Times New Roman" w:hAnsi="Times New Roman" w:cs="Times New Roman"/>
        </w:rPr>
        <w:t xml:space="preserve"> Results of </w:t>
      </w:r>
      <w:r>
        <w:rPr>
          <w:rFonts w:ascii="Times New Roman" w:hAnsi="Times New Roman" w:cs="Times New Roman"/>
        </w:rPr>
        <w:t>Multinomial</w:t>
      </w:r>
      <w:r w:rsidRPr="004E5BE2">
        <w:rPr>
          <w:rFonts w:ascii="Times New Roman" w:hAnsi="Times New Roman" w:cs="Times New Roman"/>
        </w:rPr>
        <w:t xml:space="preserve"> Regression on Outcome of D</w:t>
      </w:r>
      <w:r>
        <w:rPr>
          <w:rFonts w:ascii="Times New Roman" w:hAnsi="Times New Roman" w:cs="Times New Roman"/>
        </w:rPr>
        <w:t>issolution Type</w:t>
      </w:r>
    </w:p>
    <w:tbl>
      <w:tblPr>
        <w:tblW w:w="5000" w:type="pct"/>
        <w:tblCellMar>
          <w:left w:w="75" w:type="dxa"/>
          <w:right w:w="75" w:type="dxa"/>
        </w:tblCellMar>
        <w:tblLook w:val="0000" w:firstRow="0" w:lastRow="0" w:firstColumn="0" w:lastColumn="0" w:noHBand="0" w:noVBand="0"/>
      </w:tblPr>
      <w:tblGrid>
        <w:gridCol w:w="1913"/>
        <w:gridCol w:w="1549"/>
        <w:gridCol w:w="904"/>
        <w:gridCol w:w="906"/>
        <w:gridCol w:w="173"/>
        <w:gridCol w:w="865"/>
        <w:gridCol w:w="797"/>
        <w:gridCol w:w="156"/>
        <w:gridCol w:w="905"/>
        <w:gridCol w:w="858"/>
      </w:tblGrid>
      <w:tr w:rsidR="00E904EC" w:rsidRPr="00420412" w14:paraId="4262B02F" w14:textId="77777777" w:rsidTr="00A85E55">
        <w:trPr>
          <w:trHeight w:val="227"/>
        </w:trPr>
        <w:tc>
          <w:tcPr>
            <w:tcW w:w="1066"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15"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102"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04"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61"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88"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A85E55">
        <w:trPr>
          <w:trHeight w:val="227"/>
        </w:trPr>
        <w:tc>
          <w:tcPr>
            <w:tcW w:w="1066"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8"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102"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7"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61"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81"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A85E55">
        <w:trPr>
          <w:trHeight w:val="227"/>
        </w:trPr>
        <w:tc>
          <w:tcPr>
            <w:tcW w:w="1066"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64"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A85E55">
        <w:trPr>
          <w:trHeight w:val="227"/>
        </w:trPr>
        <w:tc>
          <w:tcPr>
            <w:tcW w:w="1066"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64"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8"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7"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81"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A85E55">
        <w:trPr>
          <w:trHeight w:val="227"/>
        </w:trPr>
        <w:tc>
          <w:tcPr>
            <w:tcW w:w="1066"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64"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8"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7"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81"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A85E55">
        <w:trPr>
          <w:trHeight w:val="227"/>
        </w:trPr>
        <w:tc>
          <w:tcPr>
            <w:tcW w:w="1066"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64"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A85E55">
        <w:trPr>
          <w:trHeight w:val="227"/>
        </w:trPr>
        <w:tc>
          <w:tcPr>
            <w:tcW w:w="1066"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7"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A85E55">
        <w:trPr>
          <w:trHeight w:val="227"/>
        </w:trPr>
        <w:tc>
          <w:tcPr>
            <w:tcW w:w="1066"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7"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8"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7"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81"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A85E55">
        <w:trPr>
          <w:trHeight w:val="227"/>
        </w:trPr>
        <w:tc>
          <w:tcPr>
            <w:tcW w:w="1066"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7"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8"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7"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81"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A85E55">
        <w:trPr>
          <w:trHeight w:val="227"/>
        </w:trPr>
        <w:tc>
          <w:tcPr>
            <w:tcW w:w="1066"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64"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8"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81"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A85E55">
        <w:trPr>
          <w:trHeight w:val="227"/>
        </w:trPr>
        <w:tc>
          <w:tcPr>
            <w:tcW w:w="1066"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lastRenderedPageBreak/>
              <w:t xml:space="preserve">     CYP</w:t>
            </w:r>
          </w:p>
        </w:tc>
        <w:tc>
          <w:tcPr>
            <w:tcW w:w="864"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8"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7"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81"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162ACE00" w14:textId="77777777" w:rsidTr="00A85E55">
        <w:trPr>
          <w:trHeight w:val="227"/>
        </w:trPr>
        <w:tc>
          <w:tcPr>
            <w:tcW w:w="1066" w:type="pct"/>
            <w:tcBorders>
              <w:top w:val="nil"/>
              <w:left w:val="nil"/>
              <w:bottom w:val="nil"/>
              <w:right w:val="nil"/>
            </w:tcBorders>
          </w:tcPr>
          <w:p w14:paraId="4406EB06"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64" w:type="pct"/>
            <w:tcBorders>
              <w:top w:val="nil"/>
              <w:left w:val="nil"/>
              <w:bottom w:val="nil"/>
              <w:right w:val="nil"/>
            </w:tcBorders>
          </w:tcPr>
          <w:p w14:paraId="587318F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290FEF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F9217A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2A25E4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6A077FE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CC22D3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004D533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17E8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5EF5C8F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7F613F64" w14:textId="77777777" w:rsidTr="00A85E55">
        <w:trPr>
          <w:trHeight w:val="227"/>
        </w:trPr>
        <w:tc>
          <w:tcPr>
            <w:tcW w:w="1066" w:type="pct"/>
            <w:tcBorders>
              <w:top w:val="nil"/>
              <w:left w:val="nil"/>
              <w:bottom w:val="nil"/>
              <w:right w:val="nil"/>
            </w:tcBorders>
          </w:tcPr>
          <w:p w14:paraId="032D809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3A9CE63"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7" w:type="pct"/>
            <w:tcBorders>
              <w:top w:val="nil"/>
              <w:left w:val="nil"/>
              <w:bottom w:val="nil"/>
              <w:right w:val="nil"/>
            </w:tcBorders>
          </w:tcPr>
          <w:p w14:paraId="245F56A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788D09D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55BFA0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85444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1A9A242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266AA2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F80F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3E69E4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0994D75C" w14:textId="77777777" w:rsidTr="00A85E55">
        <w:trPr>
          <w:trHeight w:val="227"/>
        </w:trPr>
        <w:tc>
          <w:tcPr>
            <w:tcW w:w="1066" w:type="pct"/>
            <w:tcBorders>
              <w:top w:val="nil"/>
              <w:left w:val="nil"/>
              <w:bottom w:val="nil"/>
              <w:right w:val="nil"/>
            </w:tcBorders>
          </w:tcPr>
          <w:p w14:paraId="50C9E021"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6BA8351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7" w:type="pct"/>
            <w:tcBorders>
              <w:top w:val="nil"/>
              <w:left w:val="nil"/>
              <w:bottom w:val="nil"/>
              <w:right w:val="nil"/>
            </w:tcBorders>
          </w:tcPr>
          <w:p w14:paraId="2F0AA5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681C4E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7B6C4F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0537885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47" w:type="pct"/>
            <w:tcBorders>
              <w:top w:val="nil"/>
              <w:left w:val="nil"/>
              <w:bottom w:val="nil"/>
              <w:right w:val="nil"/>
            </w:tcBorders>
          </w:tcPr>
          <w:p w14:paraId="3E75412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c>
          <w:tcPr>
            <w:tcW w:w="61" w:type="pct"/>
            <w:tcBorders>
              <w:top w:val="nil"/>
              <w:left w:val="nil"/>
              <w:bottom w:val="nil"/>
              <w:right w:val="nil"/>
            </w:tcBorders>
          </w:tcPr>
          <w:p w14:paraId="335131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CECE3F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81" w:type="pct"/>
            <w:tcBorders>
              <w:top w:val="nil"/>
              <w:left w:val="nil"/>
              <w:bottom w:val="nil"/>
              <w:right w:val="nil"/>
            </w:tcBorders>
          </w:tcPr>
          <w:p w14:paraId="36F254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019B70D4" w14:textId="77777777" w:rsidTr="00A85E55">
        <w:trPr>
          <w:trHeight w:val="227"/>
        </w:trPr>
        <w:tc>
          <w:tcPr>
            <w:tcW w:w="1066" w:type="pct"/>
            <w:tcBorders>
              <w:top w:val="nil"/>
              <w:left w:val="nil"/>
              <w:bottom w:val="nil"/>
              <w:right w:val="nil"/>
            </w:tcBorders>
          </w:tcPr>
          <w:p w14:paraId="2E16AC0E"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6D36170"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7" w:type="pct"/>
            <w:tcBorders>
              <w:top w:val="nil"/>
              <w:left w:val="nil"/>
              <w:bottom w:val="nil"/>
              <w:right w:val="nil"/>
            </w:tcBorders>
          </w:tcPr>
          <w:p w14:paraId="664DE30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508" w:type="pct"/>
            <w:tcBorders>
              <w:top w:val="nil"/>
              <w:left w:val="nil"/>
              <w:bottom w:val="nil"/>
              <w:right w:val="nil"/>
            </w:tcBorders>
          </w:tcPr>
          <w:p w14:paraId="550C29A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102" w:type="pct"/>
            <w:tcBorders>
              <w:top w:val="nil"/>
              <w:left w:val="nil"/>
              <w:bottom w:val="nil"/>
              <w:right w:val="nil"/>
            </w:tcBorders>
          </w:tcPr>
          <w:p w14:paraId="4EA629B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79BCAC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0.38*</w:t>
            </w:r>
          </w:p>
        </w:tc>
        <w:tc>
          <w:tcPr>
            <w:tcW w:w="447" w:type="pct"/>
            <w:tcBorders>
              <w:top w:val="nil"/>
              <w:left w:val="nil"/>
              <w:bottom w:val="nil"/>
              <w:right w:val="nil"/>
            </w:tcBorders>
          </w:tcPr>
          <w:p w14:paraId="0EBEA74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0.15</w:t>
            </w:r>
          </w:p>
        </w:tc>
        <w:tc>
          <w:tcPr>
            <w:tcW w:w="61" w:type="pct"/>
            <w:tcBorders>
              <w:top w:val="nil"/>
              <w:left w:val="nil"/>
              <w:bottom w:val="nil"/>
              <w:right w:val="nil"/>
            </w:tcBorders>
          </w:tcPr>
          <w:p w14:paraId="432351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CFDD3B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0.03</w:t>
            </w:r>
          </w:p>
        </w:tc>
        <w:tc>
          <w:tcPr>
            <w:tcW w:w="481" w:type="pct"/>
            <w:tcBorders>
              <w:top w:val="nil"/>
              <w:left w:val="nil"/>
              <w:bottom w:val="nil"/>
              <w:right w:val="nil"/>
            </w:tcBorders>
          </w:tcPr>
          <w:p w14:paraId="70AEEBD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r>
      <w:tr w:rsidR="00E904EC" w:rsidRPr="00420412" w14:paraId="2BFD87E1" w14:textId="77777777" w:rsidTr="00A85E55">
        <w:trPr>
          <w:trHeight w:val="227"/>
        </w:trPr>
        <w:tc>
          <w:tcPr>
            <w:tcW w:w="1066"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64"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A85E55">
        <w:trPr>
          <w:trHeight w:val="227"/>
        </w:trPr>
        <w:tc>
          <w:tcPr>
            <w:tcW w:w="1066"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64"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7"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81"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A85E55">
        <w:trPr>
          <w:trHeight w:val="227"/>
        </w:trPr>
        <w:tc>
          <w:tcPr>
            <w:tcW w:w="1066"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64"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8"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102"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61"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81"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A85E55">
        <w:trPr>
          <w:trHeight w:val="227"/>
        </w:trPr>
        <w:tc>
          <w:tcPr>
            <w:tcW w:w="1066"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64"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A85E55">
        <w:trPr>
          <w:trHeight w:val="227"/>
        </w:trPr>
        <w:tc>
          <w:tcPr>
            <w:tcW w:w="1066"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64"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8"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A85E55">
        <w:trPr>
          <w:trHeight w:val="227"/>
        </w:trPr>
        <w:tc>
          <w:tcPr>
            <w:tcW w:w="1066"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64"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8"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A85E55">
        <w:trPr>
          <w:trHeight w:val="227"/>
        </w:trPr>
        <w:tc>
          <w:tcPr>
            <w:tcW w:w="1066"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64"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8"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7"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61"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81"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4E078EF6" w14:textId="77777777" w:rsidTr="00A85E55">
        <w:trPr>
          <w:trHeight w:val="227"/>
        </w:trPr>
        <w:tc>
          <w:tcPr>
            <w:tcW w:w="1066" w:type="pct"/>
            <w:tcBorders>
              <w:top w:val="nil"/>
              <w:left w:val="nil"/>
              <w:bottom w:val="nil"/>
              <w:right w:val="nil"/>
            </w:tcBorders>
          </w:tcPr>
          <w:p w14:paraId="4D9FBEF7" w14:textId="77777777" w:rsidR="00E904EC" w:rsidRPr="00420412" w:rsidRDefault="00E904EC" w:rsidP="00A85E55">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64" w:type="pct"/>
            <w:tcBorders>
              <w:top w:val="nil"/>
              <w:left w:val="nil"/>
              <w:bottom w:val="nil"/>
              <w:right w:val="nil"/>
            </w:tcBorders>
          </w:tcPr>
          <w:p w14:paraId="046DE8B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8680C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30,355</w:t>
            </w:r>
          </w:p>
        </w:tc>
      </w:tr>
      <w:tr w:rsidR="00E904EC" w:rsidRPr="00420412" w14:paraId="22E6AC2A" w14:textId="77777777" w:rsidTr="00A85E55">
        <w:tblPrEx>
          <w:tblBorders>
            <w:bottom w:val="single" w:sz="6" w:space="0" w:color="auto"/>
          </w:tblBorders>
        </w:tblPrEx>
        <w:trPr>
          <w:trHeight w:val="227"/>
        </w:trPr>
        <w:tc>
          <w:tcPr>
            <w:tcW w:w="1066" w:type="pct"/>
            <w:tcBorders>
              <w:top w:val="nil"/>
              <w:left w:val="nil"/>
              <w:bottom w:val="nil"/>
              <w:right w:val="nil"/>
            </w:tcBorders>
          </w:tcPr>
          <w:p w14:paraId="13045B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2934E35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6D02E3B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E904EC" w:rsidRPr="00420412" w14:paraId="10D8D58D" w14:textId="77777777" w:rsidTr="00A85E55">
        <w:tblPrEx>
          <w:tblBorders>
            <w:bottom w:val="single" w:sz="6" w:space="0" w:color="auto"/>
          </w:tblBorders>
        </w:tblPrEx>
        <w:trPr>
          <w:trHeight w:val="227"/>
        </w:trPr>
        <w:tc>
          <w:tcPr>
            <w:tcW w:w="1066" w:type="pct"/>
            <w:tcBorders>
              <w:top w:val="nil"/>
              <w:left w:val="nil"/>
              <w:bottom w:val="nil"/>
              <w:right w:val="nil"/>
            </w:tcBorders>
          </w:tcPr>
          <w:p w14:paraId="0667823B"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4BFBC309"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1476138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E904EC" w:rsidRPr="00420412" w14:paraId="1B6CCF24" w14:textId="77777777" w:rsidTr="00A85E55">
        <w:tblPrEx>
          <w:tblBorders>
            <w:bottom w:val="single" w:sz="6" w:space="0" w:color="auto"/>
          </w:tblBorders>
        </w:tblPrEx>
        <w:trPr>
          <w:trHeight w:val="227"/>
        </w:trPr>
        <w:tc>
          <w:tcPr>
            <w:tcW w:w="1066" w:type="pct"/>
            <w:tcBorders>
              <w:top w:val="nil"/>
              <w:left w:val="nil"/>
              <w:bottom w:val="nil"/>
              <w:right w:val="nil"/>
            </w:tcBorders>
          </w:tcPr>
          <w:p w14:paraId="6985471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Cragg and Uhler’s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3904C7B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6DD40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E904EC" w:rsidRPr="00420412" w14:paraId="28248853" w14:textId="77777777" w:rsidTr="00A85E55">
        <w:tblPrEx>
          <w:tblBorders>
            <w:bottom w:val="single" w:sz="6" w:space="0" w:color="auto"/>
          </w:tblBorders>
        </w:tblPrEx>
        <w:trPr>
          <w:trHeight w:val="227"/>
        </w:trPr>
        <w:tc>
          <w:tcPr>
            <w:tcW w:w="1066" w:type="pct"/>
            <w:tcBorders>
              <w:top w:val="nil"/>
              <w:left w:val="nil"/>
              <w:bottom w:val="single" w:sz="4" w:space="0" w:color="auto"/>
              <w:right w:val="nil"/>
            </w:tcBorders>
          </w:tcPr>
          <w:p w14:paraId="3853587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64" w:type="pct"/>
            <w:tcBorders>
              <w:top w:val="nil"/>
              <w:left w:val="nil"/>
              <w:bottom w:val="single" w:sz="4" w:space="0" w:color="auto"/>
              <w:right w:val="nil"/>
            </w:tcBorders>
          </w:tcPr>
          <w:p w14:paraId="7074C20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single" w:sz="4" w:space="0" w:color="auto"/>
              <w:right w:val="nil"/>
            </w:tcBorders>
          </w:tcPr>
          <w:p w14:paraId="4A43DA8F"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D6A55AF" w14:textId="1C8EB2F8" w:rsidR="00E904EC" w:rsidRPr="0059716A" w:rsidRDefault="00E904EC" w:rsidP="0059716A">
      <w:pPr>
        <w:spacing w:line="480" w:lineRule="auto"/>
        <w:rPr>
          <w:rFonts w:ascii="Times New Roman" w:hAnsi="Times New Roman" w:cs="Times New Roman"/>
          <w:sz w:val="24"/>
          <w:szCs w:val="24"/>
        </w:rPr>
      </w:pPr>
      <w:r w:rsidRPr="004E5BE2">
        <w:rPr>
          <w:rFonts w:ascii="Times New Roman" w:hAnsi="Times New Roman" w:cs="Times New Roman"/>
        </w:rPr>
        <w:t xml:space="preserve">Note: </w:t>
      </w:r>
      <w:r>
        <w:rPr>
          <w:rFonts w:ascii="Times New Roman" w:hAnsi="Times New Roman" w:cs="Times New Roman"/>
        </w:rPr>
        <w:t>[</w:t>
      </w:r>
      <w:r w:rsidRPr="004E5BE2">
        <w:rPr>
          <w:rFonts w:ascii="Times New Roman" w:hAnsi="Times New Roman" w:cs="Times New Roman"/>
        </w:rPr>
        <w:t>Explain each of the variables.</w:t>
      </w:r>
      <w:r>
        <w:rPr>
          <w:rFonts w:ascii="Times New Roman" w:hAnsi="Times New Roman" w:cs="Times New Roman"/>
        </w:rPr>
        <w:t>]</w:t>
      </w:r>
      <w:r w:rsidRPr="004E5BE2">
        <w:rPr>
          <w:rFonts w:ascii="Times New Roman" w:hAnsi="Times New Roman" w:cs="Times New Roman"/>
        </w:rPr>
        <w:t xml:space="preserve"> [Style this on CITM and density papers]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61AAD403" w14:textId="3CB36CE7" w:rsidR="00DC4425" w:rsidRDefault="00DC4425" w:rsidP="005971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A65A7D8" w14:textId="14FA913F" w:rsidR="00DC4425" w:rsidRDefault="00DC4425" w:rsidP="00DC4425">
      <w:pPr>
        <w:spacing w:line="480" w:lineRule="auto"/>
        <w:rPr>
          <w:rFonts w:ascii="Times New Roman" w:hAnsi="Times New Roman" w:cs="Times New Roman"/>
          <w:sz w:val="24"/>
          <w:szCs w:val="24"/>
        </w:rPr>
      </w:pPr>
      <w:r>
        <w:rPr>
          <w:rFonts w:ascii="Times New Roman" w:hAnsi="Times New Roman" w:cs="Times New Roman"/>
          <w:sz w:val="24"/>
          <w:szCs w:val="24"/>
        </w:rPr>
        <w:t>[Opening paragraph summarising why we conducted this study and what is hows.]</w:t>
      </w:r>
    </w:p>
    <w:p w14:paraId="6BA2DE66" w14:textId="77700746" w:rsidR="00DC4425" w:rsidRPr="00DC4425" w:rsidRDefault="00DC4425" w:rsidP="00DC4425">
      <w:pPr>
        <w:spacing w:line="480" w:lineRule="auto"/>
        <w:rPr>
          <w:rFonts w:ascii="Times New Roman" w:hAnsi="Times New Roman" w:cs="Times New Roman"/>
          <w:sz w:val="24"/>
          <w:szCs w:val="24"/>
        </w:rPr>
      </w:pPr>
      <w:r>
        <w:rPr>
          <w:rFonts w:ascii="Times New Roman" w:hAnsi="Times New Roman" w:cs="Times New Roman"/>
          <w:sz w:val="24"/>
          <w:szCs w:val="24"/>
        </w:rPr>
        <w:t>[Link results of hypothesis testing to prior literature and muse on reasons why we support/contest extant literature.]</w:t>
      </w:r>
    </w:p>
    <w:p w14:paraId="6BFBCE0D" w14:textId="0C458277" w:rsidR="00B73859" w:rsidRPr="0059716A" w:rsidRDefault="006604F3"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Conclusion</w:t>
      </w:r>
    </w:p>
    <w:p w14:paraId="26E1091E" w14:textId="542B8C45" w:rsidR="00A337E8" w:rsidRDefault="006604F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 xml:space="preserve">The impetus behind this research project, outwith the substantive validity of the topic and research questions, is to address some of these barriers by providing reproducible, well-documented </w:t>
      </w:r>
      <w:r w:rsidR="00600ECC">
        <w:rPr>
          <w:rFonts w:ascii="Times New Roman" w:hAnsi="Times New Roman" w:cs="Times New Roman"/>
          <w:sz w:val="24"/>
          <w:szCs w:val="24"/>
        </w:rPr>
        <w:t xml:space="preserve">and publicly available </w:t>
      </w:r>
      <w:r w:rsidR="00927B89" w:rsidRPr="0059716A">
        <w:rPr>
          <w:rFonts w:ascii="Times New Roman" w:hAnsi="Times New Roman" w:cs="Times New Roman"/>
          <w:sz w:val="24"/>
          <w:szCs w:val="24"/>
        </w:rPr>
        <w:t>syntax files that enable other researchers to generate their own datasets for analysis.</w:t>
      </w:r>
    </w:p>
    <w:p w14:paraId="25B12316" w14:textId="6E157409" w:rsidR="00F638E7" w:rsidRPr="0059716A" w:rsidRDefault="00F638E7" w:rsidP="0059716A">
      <w:pPr>
        <w:spacing w:line="480" w:lineRule="auto"/>
        <w:rPr>
          <w:rFonts w:ascii="Times New Roman" w:hAnsi="Times New Roman" w:cs="Times New Roman"/>
          <w:sz w:val="24"/>
          <w:szCs w:val="24"/>
        </w:rPr>
        <w:sectPr w:rsidR="00F638E7" w:rsidRPr="0059716A" w:rsidSect="00AC328C">
          <w:footerReference w:type="default" r:id="rId12"/>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By using detailed measures of charity dissolution recorded in large-scale regulatory datasets, this research project responds to the call for greater focus on mission accomplishment as an outcome in nonprofit scholarship (Helmig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416DF865" w14:textId="55933CF7" w:rsidR="00BF6019" w:rsidRDefault="00BF6019" w:rsidP="00BF6019">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42C7E5A" w14:textId="77777777" w:rsidR="009508C6" w:rsidRDefault="00BF6019" w:rsidP="009508C6">
      <w:pPr>
        <w:ind w:left="720" w:hanging="720"/>
        <w:rPr>
          <w:rFonts w:ascii="Times New Roman" w:hAnsi="Times New Roman" w:cs="Times New Roman"/>
          <w:sz w:val="24"/>
          <w:szCs w:val="24"/>
        </w:rPr>
      </w:pPr>
      <w:r w:rsidRPr="00BF6019">
        <w:rPr>
          <w:rFonts w:ascii="Times New Roman" w:hAnsi="Times New Roman" w:cs="Times New Roman"/>
          <w:sz w:val="24"/>
          <w:szCs w:val="24"/>
        </w:rPr>
        <w:t xml:space="preserve">Pfeffer, J., &amp; Salancik, G. R. (2003). </w:t>
      </w:r>
      <w:r w:rsidRPr="00BF6019">
        <w:rPr>
          <w:rFonts w:ascii="Times New Roman" w:hAnsi="Times New Roman" w:cs="Times New Roman"/>
          <w:i/>
          <w:sz w:val="24"/>
          <w:szCs w:val="24"/>
        </w:rPr>
        <w:t>The external control of organizations: A resource dependence perspective</w:t>
      </w:r>
      <w:r w:rsidRPr="00BF6019">
        <w:rPr>
          <w:rFonts w:ascii="Times New Roman" w:hAnsi="Times New Roman" w:cs="Times New Roman"/>
          <w:sz w:val="24"/>
          <w:szCs w:val="24"/>
        </w:rPr>
        <w:t>.</w:t>
      </w:r>
      <w:r>
        <w:rPr>
          <w:rFonts w:ascii="Times New Roman" w:hAnsi="Times New Roman" w:cs="Times New Roman"/>
          <w:sz w:val="24"/>
          <w:szCs w:val="24"/>
        </w:rPr>
        <w:t xml:space="preserve"> </w:t>
      </w:r>
      <w:r w:rsidRPr="00BF6019">
        <w:rPr>
          <w:rFonts w:ascii="Times New Roman" w:hAnsi="Times New Roman" w:cs="Times New Roman"/>
          <w:sz w:val="24"/>
          <w:szCs w:val="24"/>
        </w:rPr>
        <w:t>New York: Harper &amp; Row.</w:t>
      </w:r>
    </w:p>
    <w:p w14:paraId="69ECC072" w14:textId="77777777" w:rsidR="009508C6" w:rsidRDefault="00E96B23" w:rsidP="009508C6">
      <w:pPr>
        <w:ind w:left="720" w:hanging="720"/>
        <w:rPr>
          <w:rFonts w:ascii="Times New Roman" w:hAnsi="Times New Roman" w:cs="Times New Roman"/>
          <w:sz w:val="24"/>
          <w:szCs w:val="24"/>
        </w:rPr>
      </w:pPr>
      <w:r w:rsidRPr="00E96B23">
        <w:rPr>
          <w:rFonts w:ascii="Times New Roman" w:hAnsi="Times New Roman" w:cs="Times New Roman"/>
          <w:sz w:val="24"/>
          <w:szCs w:val="24"/>
        </w:rPr>
        <w:t>Frumkin, P., &amp; Keating, E. K. (2011). Diversification reconsi</w:t>
      </w:r>
      <w:r>
        <w:rPr>
          <w:rFonts w:ascii="Times New Roman" w:hAnsi="Times New Roman" w:cs="Times New Roman"/>
          <w:sz w:val="24"/>
          <w:szCs w:val="24"/>
        </w:rPr>
        <w:t xml:space="preserve">dered: The risks and rewards of </w:t>
      </w:r>
      <w:r w:rsidRPr="00E96B23">
        <w:rPr>
          <w:rFonts w:ascii="Times New Roman" w:hAnsi="Times New Roman" w:cs="Times New Roman"/>
          <w:sz w:val="24"/>
          <w:szCs w:val="24"/>
        </w:rPr>
        <w:t xml:space="preserve">revenue concentration. </w:t>
      </w:r>
      <w:r w:rsidRPr="00E96B23">
        <w:rPr>
          <w:rFonts w:ascii="Times New Roman" w:hAnsi="Times New Roman" w:cs="Times New Roman"/>
          <w:i/>
          <w:sz w:val="24"/>
          <w:szCs w:val="24"/>
        </w:rPr>
        <w:t>Journal of Social Entrepreneurship, 2</w:t>
      </w:r>
      <w:r w:rsidRPr="00E96B23">
        <w:rPr>
          <w:rFonts w:ascii="Times New Roman" w:hAnsi="Times New Roman" w:cs="Times New Roman"/>
          <w:sz w:val="24"/>
          <w:szCs w:val="24"/>
        </w:rPr>
        <w:t>, 151-164.</w:t>
      </w:r>
    </w:p>
    <w:p w14:paraId="0FF02B13" w14:textId="5EE97F61" w:rsidR="00F634B5" w:rsidRDefault="00F634B5" w:rsidP="009508C6">
      <w:pPr>
        <w:ind w:left="720" w:hanging="720"/>
        <w:rPr>
          <w:rFonts w:ascii="Times New Roman" w:hAnsi="Times New Roman" w:cs="Times New Roman"/>
          <w:sz w:val="24"/>
          <w:szCs w:val="24"/>
        </w:rPr>
      </w:pPr>
      <w:r w:rsidRPr="00F634B5">
        <w:rPr>
          <w:rFonts w:ascii="Times New Roman" w:hAnsi="Times New Roman" w:cs="Times New Roman"/>
          <w:sz w:val="24"/>
          <w:szCs w:val="24"/>
        </w:rPr>
        <w:t xml:space="preserve">Froelich, K. A. (1999). Diversification of revenue strategies: </w:t>
      </w:r>
      <w:r>
        <w:rPr>
          <w:rFonts w:ascii="Times New Roman" w:hAnsi="Times New Roman" w:cs="Times New Roman"/>
          <w:sz w:val="24"/>
          <w:szCs w:val="24"/>
        </w:rPr>
        <w:t xml:space="preserve">Evolving resource dependence in </w:t>
      </w:r>
      <w:r w:rsidRPr="00F634B5">
        <w:rPr>
          <w:rFonts w:ascii="Times New Roman" w:hAnsi="Times New Roman" w:cs="Times New Roman"/>
          <w:sz w:val="24"/>
          <w:szCs w:val="24"/>
        </w:rPr>
        <w:t xml:space="preserve">nonprofit organizations. </w:t>
      </w:r>
      <w:r w:rsidRPr="00F634B5">
        <w:rPr>
          <w:rFonts w:ascii="Times New Roman" w:hAnsi="Times New Roman" w:cs="Times New Roman"/>
          <w:i/>
          <w:sz w:val="24"/>
          <w:szCs w:val="24"/>
        </w:rPr>
        <w:t>Nonprofit and Voluntary Sector Quarterly, 28</w:t>
      </w:r>
      <w:r w:rsidRPr="00F634B5">
        <w:rPr>
          <w:rFonts w:ascii="Times New Roman" w:hAnsi="Times New Roman" w:cs="Times New Roman"/>
          <w:sz w:val="24"/>
          <w:szCs w:val="24"/>
        </w:rPr>
        <w:t>, 246-268.</w:t>
      </w:r>
    </w:p>
    <w:p w14:paraId="3EC88AA7" w14:textId="0692761E" w:rsidR="00674C20" w:rsidRPr="00BF6019" w:rsidRDefault="00674C20" w:rsidP="00674C20">
      <w:pPr>
        <w:ind w:left="720" w:hanging="720"/>
        <w:rPr>
          <w:rFonts w:ascii="Times New Roman" w:hAnsi="Times New Roman" w:cs="Times New Roman"/>
          <w:sz w:val="24"/>
          <w:szCs w:val="24"/>
        </w:rPr>
      </w:pPr>
      <w:r w:rsidRPr="00674C20">
        <w:rPr>
          <w:rFonts w:ascii="Times New Roman" w:hAnsi="Times New Roman" w:cs="Times New Roman"/>
          <w:sz w:val="24"/>
          <w:szCs w:val="24"/>
        </w:rPr>
        <w:t>Lu, J., Lin, W., &amp; Wang, Q. (2019). Does a more diversified re</w:t>
      </w:r>
      <w:r>
        <w:rPr>
          <w:rFonts w:ascii="Times New Roman" w:hAnsi="Times New Roman" w:cs="Times New Roman"/>
          <w:sz w:val="24"/>
          <w:szCs w:val="24"/>
        </w:rPr>
        <w:t xml:space="preserve">venue structure lead to greater </w:t>
      </w:r>
      <w:r w:rsidRPr="00674C20">
        <w:rPr>
          <w:rFonts w:ascii="Times New Roman" w:hAnsi="Times New Roman" w:cs="Times New Roman"/>
          <w:sz w:val="24"/>
          <w:szCs w:val="24"/>
        </w:rPr>
        <w:t>financial capacity and less vulnerability in nonprofi</w:t>
      </w:r>
      <w:r>
        <w:rPr>
          <w:rFonts w:ascii="Times New Roman" w:hAnsi="Times New Roman" w:cs="Times New Roman"/>
          <w:sz w:val="24"/>
          <w:szCs w:val="24"/>
        </w:rPr>
        <w:t xml:space="preserve">t organizations? A bibliometric </w:t>
      </w:r>
      <w:r w:rsidRPr="00674C20">
        <w:rPr>
          <w:rFonts w:ascii="Times New Roman" w:hAnsi="Times New Roman" w:cs="Times New Roman"/>
          <w:sz w:val="24"/>
          <w:szCs w:val="24"/>
        </w:rPr>
        <w:t>and meta</w:t>
      </w:r>
      <w:r>
        <w:rPr>
          <w:rFonts w:ascii="Times New Roman" w:hAnsi="Times New Roman" w:cs="Times New Roman"/>
          <w:sz w:val="24"/>
          <w:szCs w:val="24"/>
        </w:rPr>
        <w:t xml:space="preserve">-analysis. </w:t>
      </w:r>
      <w:r w:rsidRPr="00674C20">
        <w:rPr>
          <w:rFonts w:ascii="Times New Roman" w:hAnsi="Times New Roman" w:cs="Times New Roman"/>
          <w:i/>
          <w:sz w:val="24"/>
          <w:szCs w:val="24"/>
        </w:rPr>
        <w:t>VOLUNTAS: International Journal of Voluntary and Nonprofit Organizations, 30</w:t>
      </w:r>
      <w:r>
        <w:rPr>
          <w:rFonts w:ascii="Times New Roman" w:hAnsi="Times New Roman" w:cs="Times New Roman"/>
          <w:sz w:val="24"/>
          <w:szCs w:val="24"/>
        </w:rPr>
        <w:t>, 593-609.</w:t>
      </w:r>
    </w:p>
    <w:p w14:paraId="1C2D1F8E" w14:textId="77777777" w:rsidR="00BF6019" w:rsidRDefault="00BF6019">
      <w:pPr>
        <w:rPr>
          <w:rFonts w:ascii="Times New Roman" w:hAnsi="Times New Roman" w:cs="Times New Roman"/>
          <w:b/>
          <w:sz w:val="24"/>
          <w:szCs w:val="24"/>
        </w:rPr>
      </w:pPr>
      <w:r>
        <w:rPr>
          <w:rFonts w:ascii="Times New Roman" w:hAnsi="Times New Roman" w:cs="Times New Roman"/>
          <w:b/>
          <w:sz w:val="24"/>
          <w:szCs w:val="24"/>
        </w:rPr>
        <w:br w:type="page"/>
      </w:r>
    </w:p>
    <w:p w14:paraId="09A29A6E" w14:textId="74C3F223"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73B428CC"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Pr="0059716A">
        <w:rPr>
          <w:rStyle w:val="FootnoteReference"/>
          <w:rFonts w:ascii="Times New Roman" w:hAnsi="Times New Roman" w:cs="Times New Roman"/>
          <w:sz w:val="24"/>
          <w:szCs w:val="24"/>
        </w:rPr>
        <w:footnoteReference w:id="1"/>
      </w:r>
      <w:r w:rsidRPr="0059716A">
        <w:rPr>
          <w:rFonts w:ascii="Times New Roman" w:hAnsi="Times New Roman" w:cs="Times New Roman"/>
          <w:sz w:val="24"/>
          <w:szCs w:val="24"/>
        </w:rPr>
        <w:t xml:space="preserve">  The service is intended for use by software developers looking to create applications based on regulatory data; however, we have found the basic and advanced search functions the regulator provides through its website unreliable (e.g. search requests often time-out) and time consuming. The open data service is housed in a Microsoft stack that is accessed via the OData Protocol, and users can write code in multiple languages to interact with the Protocol (e.g. Python, PHP, Java). Charities Services OData end point can be reached at </w:t>
      </w:r>
      <w:hyperlink r:id="rId13"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 Table A3 in the appendices to understand the contents of each dataset.</w:t>
      </w:r>
      <w:r w:rsidRPr="0059716A">
        <w:rPr>
          <w:rStyle w:val="FootnoteReference"/>
          <w:rFonts w:ascii="Times New Roman" w:hAnsi="Times New Roman" w:cs="Times New Roman"/>
          <w:sz w:val="24"/>
          <w:szCs w:val="24"/>
        </w:rPr>
        <w:footnoteReference w:id="2"/>
      </w:r>
      <w:r w:rsidRPr="0059716A">
        <w:rPr>
          <w:rFonts w:ascii="Times New Roman" w:hAnsi="Times New Roman" w:cs="Times New Roman"/>
          <w:sz w:val="24"/>
          <w:szCs w:val="24"/>
        </w:rPr>
        <w:t xml:space="preserve">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AnnualReturns</w:t>
            </w:r>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AreaOfOperations</w:t>
            </w:r>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 xml:space="preserve">Reference </w:t>
            </w:r>
            <w:r w:rsidRPr="0059716A">
              <w:rPr>
                <w:rFonts w:ascii="Times New Roman" w:hAnsi="Times New Roman" w:cs="Times New Roman"/>
                <w:sz w:val="24"/>
                <w:szCs w:val="24"/>
              </w:rPr>
              <w:lastRenderedPageBreak/>
              <w:t>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Lookup reference for codes used to identify the </w:t>
            </w:r>
            <w:r w:rsidRPr="0059716A">
              <w:rPr>
                <w:rFonts w:ascii="Times New Roman" w:hAnsi="Times New Roman" w:cs="Times New Roman"/>
                <w:sz w:val="24"/>
                <w:szCs w:val="24"/>
              </w:rPr>
              <w:lastRenderedPageBreak/>
              <w:t>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GrpOrgAllReturns</w:t>
            </w:r>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GrpOrgLatestReturns</w:t>
            </w:r>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SourceOfFunds</w:t>
            </w:r>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vOfficerOrganisations</w:t>
            </w:r>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vOrganisations</w:t>
            </w:r>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 xml:space="preserve">field is our own judgement. As a result we are still unsure how </w:t>
      </w:r>
      <w:r w:rsidRPr="0059716A">
        <w:rPr>
          <w:rFonts w:ascii="Times New Roman" w:hAnsi="Times New Roman" w:cs="Times New Roman"/>
          <w:sz w:val="24"/>
          <w:szCs w:val="24"/>
        </w:rPr>
        <w:lastRenderedPageBreak/>
        <w:t>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4"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2E2F626C" w14:textId="77777777"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commentRangeStart w:id="4"/>
            <w:r w:rsidRPr="0059716A">
              <w:rPr>
                <w:rFonts w:ascii="Times New Roman" w:hAnsi="Times New Roman" w:cs="Times New Roman"/>
                <w:sz w:val="24"/>
                <w:szCs w:val="24"/>
              </w:rPr>
              <w:t>Final Sample</w:t>
            </w:r>
            <w:commentRangeEnd w:id="4"/>
            <w:r w:rsidR="005B6A53">
              <w:rPr>
                <w:rStyle w:val="CommentReference"/>
              </w:rPr>
              <w:commentReference w:id="4"/>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rmuidMc" w:date="2019-11-08T13:34:00Z" w:initials="m">
    <w:p w14:paraId="3FA293CD" w14:textId="4D3F4387" w:rsidR="007355E1" w:rsidRDefault="007355E1">
      <w:pPr>
        <w:pStyle w:val="CommentText"/>
      </w:pPr>
      <w:r>
        <w:rPr>
          <w:rStyle w:val="CommentReference"/>
        </w:rPr>
        <w:annotationRef/>
      </w:r>
      <w:r>
        <w:t>See Jessica’s notes for additional references.</w:t>
      </w:r>
    </w:p>
  </w:comment>
  <w:comment w:id="1" w:author="DiarmuidMc" w:date="2019-11-08T13:35:00Z" w:initials="m">
    <w:p w14:paraId="30BE138B" w14:textId="1200C8C5" w:rsidR="007355E1" w:rsidRDefault="007355E1">
      <w:pPr>
        <w:pStyle w:val="CommentText"/>
      </w:pPr>
      <w:r>
        <w:rPr>
          <w:rStyle w:val="CommentReference"/>
        </w:rPr>
        <w:annotationRef/>
      </w:r>
      <w:r>
        <w:t>Discuss some of the theories in Hager (1999) and justify inclusion of controls.</w:t>
      </w:r>
      <w:r w:rsidR="00AC6082">
        <w:t xml:space="preserve"> Add ```areaop``` as a control.</w:t>
      </w:r>
    </w:p>
  </w:comment>
  <w:comment w:id="2" w:author="DiarmuidMc" w:date="2019-11-07T16:41:00Z" w:initials="m">
    <w:p w14:paraId="629094EE" w14:textId="75E7AF62" w:rsidR="009B63C6" w:rsidRDefault="009B63C6">
      <w:pPr>
        <w:pStyle w:val="CommentText"/>
      </w:pPr>
      <w:r>
        <w:rPr>
          <w:rStyle w:val="CommentReference"/>
        </w:rPr>
        <w:annotationRef/>
      </w:r>
      <w:r>
        <w:t>Write about our data science work to construct the data sets.</w:t>
      </w:r>
    </w:p>
  </w:comment>
  <w:comment w:id="4" w:author="DiarmuidMc" w:date="2019-11-07T15:26:00Z" w:initials="m">
    <w:p w14:paraId="5B1073B4" w14:textId="3462619F" w:rsidR="009B63C6" w:rsidRDefault="009B63C6">
      <w:pPr>
        <w:pStyle w:val="CommentText"/>
      </w:pPr>
      <w:r>
        <w:rPr>
          <w:rStyle w:val="CommentReference"/>
        </w:rPr>
        <w:annotationRef/>
      </w:r>
      <w:r>
        <w:t>Update with latest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A293CD" w15:done="0"/>
  <w15:commentEx w15:paraId="30BE138B" w15:done="0"/>
  <w15:commentEx w15:paraId="629094EE" w15:done="0"/>
  <w15:commentEx w15:paraId="5B1073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2F436" w14:textId="77777777" w:rsidR="000B7B07" w:rsidRDefault="000B7B07" w:rsidP="00AC328C">
      <w:pPr>
        <w:spacing w:after="0" w:line="240" w:lineRule="auto"/>
      </w:pPr>
      <w:r>
        <w:separator/>
      </w:r>
    </w:p>
  </w:endnote>
  <w:endnote w:type="continuationSeparator" w:id="0">
    <w:p w14:paraId="6FE9ED09" w14:textId="77777777" w:rsidR="000B7B07" w:rsidRDefault="000B7B07"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51FEED0B" w:rsidR="009B63C6" w:rsidRPr="00F01EEF" w:rsidRDefault="009B63C6"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BB37BB">
          <w:rPr>
            <w:rFonts w:ascii="Times New Roman" w:hAnsi="Times New Roman" w:cs="Times New Roman"/>
            <w:noProof/>
          </w:rPr>
          <w:t>22</w:t>
        </w:r>
        <w:r w:rsidRPr="00F01EEF">
          <w:rPr>
            <w:rFonts w:ascii="Times New Roman" w:hAnsi="Times New Roman" w:cs="Times New Roman"/>
            <w:noProof/>
          </w:rPr>
          <w:fldChar w:fldCharType="end"/>
        </w:r>
      </w:p>
    </w:sdtContent>
  </w:sdt>
  <w:p w14:paraId="615E7A4B" w14:textId="77777777" w:rsidR="009B63C6" w:rsidRPr="00F01EEF" w:rsidRDefault="009B63C6"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C0753" w14:textId="77777777" w:rsidR="000B7B07" w:rsidRDefault="000B7B07" w:rsidP="00AC328C">
      <w:pPr>
        <w:spacing w:after="0" w:line="240" w:lineRule="auto"/>
      </w:pPr>
      <w:r>
        <w:separator/>
      </w:r>
    </w:p>
  </w:footnote>
  <w:footnote w:type="continuationSeparator" w:id="0">
    <w:p w14:paraId="6FC81B02" w14:textId="77777777" w:rsidR="000B7B07" w:rsidRDefault="000B7B07" w:rsidP="00AC328C">
      <w:pPr>
        <w:spacing w:after="0" w:line="240" w:lineRule="auto"/>
      </w:pPr>
      <w:r>
        <w:continuationSeparator/>
      </w:r>
    </w:p>
  </w:footnote>
  <w:footnote w:id="1">
    <w:p w14:paraId="0D4CC0A1" w14:textId="77777777" w:rsidR="009B63C6" w:rsidRDefault="009B63C6" w:rsidP="003762EB">
      <w:pPr>
        <w:pStyle w:val="FootnoteText"/>
      </w:pPr>
      <w:r>
        <w:rPr>
          <w:rStyle w:val="FootnoteReference"/>
        </w:rPr>
        <w:footnoteRef/>
      </w:r>
      <w:r>
        <w:t xml:space="preserve"> An API is a form of online database that users can query and access data from using http requests.</w:t>
      </w:r>
    </w:p>
  </w:footnote>
  <w:footnote w:id="2">
    <w:p w14:paraId="54868D72" w14:textId="4E95524A" w:rsidR="009B63C6" w:rsidRDefault="009B63C6" w:rsidP="003762EB">
      <w:pPr>
        <w:pStyle w:val="FootnoteText"/>
        <w:spacing w:line="36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rmuidMc">
    <w15:presenceInfo w15:providerId="None" w15:userId="DiarmuidM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01DA0"/>
    <w:rsid w:val="000120B2"/>
    <w:rsid w:val="000212E1"/>
    <w:rsid w:val="00052E06"/>
    <w:rsid w:val="00054991"/>
    <w:rsid w:val="000620CB"/>
    <w:rsid w:val="000700AD"/>
    <w:rsid w:val="00075997"/>
    <w:rsid w:val="00083215"/>
    <w:rsid w:val="00090789"/>
    <w:rsid w:val="000A31B7"/>
    <w:rsid w:val="000B125A"/>
    <w:rsid w:val="000B2856"/>
    <w:rsid w:val="000B5359"/>
    <w:rsid w:val="000B7B07"/>
    <w:rsid w:val="000C48AA"/>
    <w:rsid w:val="000D2DEC"/>
    <w:rsid w:val="000F2EA4"/>
    <w:rsid w:val="000F2FE2"/>
    <w:rsid w:val="00102B9F"/>
    <w:rsid w:val="00106294"/>
    <w:rsid w:val="001115C8"/>
    <w:rsid w:val="0011795B"/>
    <w:rsid w:val="00122969"/>
    <w:rsid w:val="00122CCD"/>
    <w:rsid w:val="001377BA"/>
    <w:rsid w:val="00156483"/>
    <w:rsid w:val="00162833"/>
    <w:rsid w:val="00166DB8"/>
    <w:rsid w:val="001841EA"/>
    <w:rsid w:val="001851AC"/>
    <w:rsid w:val="001A025C"/>
    <w:rsid w:val="001B16C4"/>
    <w:rsid w:val="001B66AC"/>
    <w:rsid w:val="001C2F0C"/>
    <w:rsid w:val="001D1F1C"/>
    <w:rsid w:val="001D3007"/>
    <w:rsid w:val="001E4BEF"/>
    <w:rsid w:val="001F4F03"/>
    <w:rsid w:val="0020391B"/>
    <w:rsid w:val="00211D9B"/>
    <w:rsid w:val="00213C1B"/>
    <w:rsid w:val="00237750"/>
    <w:rsid w:val="00245D21"/>
    <w:rsid w:val="0024708C"/>
    <w:rsid w:val="0026237C"/>
    <w:rsid w:val="00286607"/>
    <w:rsid w:val="002867BD"/>
    <w:rsid w:val="002A361A"/>
    <w:rsid w:val="002A40DC"/>
    <w:rsid w:val="002B71B0"/>
    <w:rsid w:val="002C11E1"/>
    <w:rsid w:val="002C34E3"/>
    <w:rsid w:val="002C3EE7"/>
    <w:rsid w:val="002C459E"/>
    <w:rsid w:val="002C7C0D"/>
    <w:rsid w:val="002E2D5A"/>
    <w:rsid w:val="002F681E"/>
    <w:rsid w:val="00305380"/>
    <w:rsid w:val="00320249"/>
    <w:rsid w:val="00342557"/>
    <w:rsid w:val="0034475F"/>
    <w:rsid w:val="00354A01"/>
    <w:rsid w:val="00370E3F"/>
    <w:rsid w:val="003762EB"/>
    <w:rsid w:val="003874BF"/>
    <w:rsid w:val="00395416"/>
    <w:rsid w:val="003964E5"/>
    <w:rsid w:val="003D2697"/>
    <w:rsid w:val="003E033E"/>
    <w:rsid w:val="003F2B97"/>
    <w:rsid w:val="003F32CA"/>
    <w:rsid w:val="003F7BFA"/>
    <w:rsid w:val="00401A25"/>
    <w:rsid w:val="00411180"/>
    <w:rsid w:val="00411539"/>
    <w:rsid w:val="00420A06"/>
    <w:rsid w:val="004227A4"/>
    <w:rsid w:val="00422D35"/>
    <w:rsid w:val="0042686B"/>
    <w:rsid w:val="004359FD"/>
    <w:rsid w:val="00445763"/>
    <w:rsid w:val="004602AF"/>
    <w:rsid w:val="004737EF"/>
    <w:rsid w:val="004807DE"/>
    <w:rsid w:val="004953A4"/>
    <w:rsid w:val="00496AF1"/>
    <w:rsid w:val="004B13E1"/>
    <w:rsid w:val="004B601C"/>
    <w:rsid w:val="004C231A"/>
    <w:rsid w:val="00514F06"/>
    <w:rsid w:val="0052029A"/>
    <w:rsid w:val="00521EBB"/>
    <w:rsid w:val="00523A6D"/>
    <w:rsid w:val="0054565C"/>
    <w:rsid w:val="00557F25"/>
    <w:rsid w:val="00567AA9"/>
    <w:rsid w:val="005747DD"/>
    <w:rsid w:val="00575B8F"/>
    <w:rsid w:val="005803D7"/>
    <w:rsid w:val="00581068"/>
    <w:rsid w:val="00583AE7"/>
    <w:rsid w:val="0059716A"/>
    <w:rsid w:val="005A3025"/>
    <w:rsid w:val="005A393E"/>
    <w:rsid w:val="005B6A53"/>
    <w:rsid w:val="005C1770"/>
    <w:rsid w:val="005C5DA0"/>
    <w:rsid w:val="005F36C9"/>
    <w:rsid w:val="00600ECC"/>
    <w:rsid w:val="00602F3A"/>
    <w:rsid w:val="00603A83"/>
    <w:rsid w:val="00606D5C"/>
    <w:rsid w:val="00625BA6"/>
    <w:rsid w:val="0064214F"/>
    <w:rsid w:val="006604F3"/>
    <w:rsid w:val="00662E82"/>
    <w:rsid w:val="006644B4"/>
    <w:rsid w:val="006728FA"/>
    <w:rsid w:val="00674C20"/>
    <w:rsid w:val="0069231F"/>
    <w:rsid w:val="006A4B28"/>
    <w:rsid w:val="006A6A7F"/>
    <w:rsid w:val="006B0A00"/>
    <w:rsid w:val="006B2E40"/>
    <w:rsid w:val="006C14D8"/>
    <w:rsid w:val="006C2462"/>
    <w:rsid w:val="006C3245"/>
    <w:rsid w:val="006C3666"/>
    <w:rsid w:val="006C4472"/>
    <w:rsid w:val="006D0843"/>
    <w:rsid w:val="006F1D69"/>
    <w:rsid w:val="00722536"/>
    <w:rsid w:val="00727BEB"/>
    <w:rsid w:val="007326EF"/>
    <w:rsid w:val="007355E1"/>
    <w:rsid w:val="00742403"/>
    <w:rsid w:val="00772FD5"/>
    <w:rsid w:val="00780887"/>
    <w:rsid w:val="007907FD"/>
    <w:rsid w:val="007923FB"/>
    <w:rsid w:val="00793044"/>
    <w:rsid w:val="007C609B"/>
    <w:rsid w:val="0082286F"/>
    <w:rsid w:val="00853CEB"/>
    <w:rsid w:val="00853D8A"/>
    <w:rsid w:val="00872DB1"/>
    <w:rsid w:val="00883E38"/>
    <w:rsid w:val="00886388"/>
    <w:rsid w:val="008876C7"/>
    <w:rsid w:val="008A71C1"/>
    <w:rsid w:val="008A7DAC"/>
    <w:rsid w:val="008B716A"/>
    <w:rsid w:val="008C013B"/>
    <w:rsid w:val="008C49BD"/>
    <w:rsid w:val="008C5B43"/>
    <w:rsid w:val="008D64DD"/>
    <w:rsid w:val="008E3214"/>
    <w:rsid w:val="008F3223"/>
    <w:rsid w:val="008F4B50"/>
    <w:rsid w:val="00900590"/>
    <w:rsid w:val="009265D3"/>
    <w:rsid w:val="00927B89"/>
    <w:rsid w:val="00930D8C"/>
    <w:rsid w:val="00935CD4"/>
    <w:rsid w:val="0094558C"/>
    <w:rsid w:val="00946572"/>
    <w:rsid w:val="00950756"/>
    <w:rsid w:val="009508C6"/>
    <w:rsid w:val="00951769"/>
    <w:rsid w:val="00955C95"/>
    <w:rsid w:val="0096349D"/>
    <w:rsid w:val="00972938"/>
    <w:rsid w:val="0098532B"/>
    <w:rsid w:val="00997C8B"/>
    <w:rsid w:val="009B63C6"/>
    <w:rsid w:val="009B7082"/>
    <w:rsid w:val="009B7174"/>
    <w:rsid w:val="009C1BD1"/>
    <w:rsid w:val="009C70C7"/>
    <w:rsid w:val="009E4F8A"/>
    <w:rsid w:val="00A334E9"/>
    <w:rsid w:val="00A337E8"/>
    <w:rsid w:val="00A348A2"/>
    <w:rsid w:val="00A3659E"/>
    <w:rsid w:val="00A37877"/>
    <w:rsid w:val="00A37E00"/>
    <w:rsid w:val="00A41A94"/>
    <w:rsid w:val="00A43C25"/>
    <w:rsid w:val="00A77AFE"/>
    <w:rsid w:val="00A81E5B"/>
    <w:rsid w:val="00A85E55"/>
    <w:rsid w:val="00A93D20"/>
    <w:rsid w:val="00AA4066"/>
    <w:rsid w:val="00AA4C66"/>
    <w:rsid w:val="00AA52E1"/>
    <w:rsid w:val="00AA5C5B"/>
    <w:rsid w:val="00AB0FDB"/>
    <w:rsid w:val="00AB69E3"/>
    <w:rsid w:val="00AC328C"/>
    <w:rsid w:val="00AC6082"/>
    <w:rsid w:val="00AD6A25"/>
    <w:rsid w:val="00B06E7A"/>
    <w:rsid w:val="00B072E2"/>
    <w:rsid w:val="00B1019B"/>
    <w:rsid w:val="00B118DC"/>
    <w:rsid w:val="00B11B55"/>
    <w:rsid w:val="00B14163"/>
    <w:rsid w:val="00B23201"/>
    <w:rsid w:val="00B31F10"/>
    <w:rsid w:val="00B52A7E"/>
    <w:rsid w:val="00B55D2D"/>
    <w:rsid w:val="00B6309C"/>
    <w:rsid w:val="00B632CE"/>
    <w:rsid w:val="00B73000"/>
    <w:rsid w:val="00B73859"/>
    <w:rsid w:val="00B75AE0"/>
    <w:rsid w:val="00B773BE"/>
    <w:rsid w:val="00B866B6"/>
    <w:rsid w:val="00BA3CCC"/>
    <w:rsid w:val="00BB37BB"/>
    <w:rsid w:val="00BD14E8"/>
    <w:rsid w:val="00BE6CB6"/>
    <w:rsid w:val="00BF2D8C"/>
    <w:rsid w:val="00BF6019"/>
    <w:rsid w:val="00C02F32"/>
    <w:rsid w:val="00C07C20"/>
    <w:rsid w:val="00C10A45"/>
    <w:rsid w:val="00C155E0"/>
    <w:rsid w:val="00C15869"/>
    <w:rsid w:val="00C20141"/>
    <w:rsid w:val="00C40E56"/>
    <w:rsid w:val="00C46C9E"/>
    <w:rsid w:val="00C524C6"/>
    <w:rsid w:val="00C53521"/>
    <w:rsid w:val="00C5372D"/>
    <w:rsid w:val="00C84C7F"/>
    <w:rsid w:val="00C85AB3"/>
    <w:rsid w:val="00C970C0"/>
    <w:rsid w:val="00C974A8"/>
    <w:rsid w:val="00CA75FA"/>
    <w:rsid w:val="00CE0397"/>
    <w:rsid w:val="00D03A69"/>
    <w:rsid w:val="00D12D7A"/>
    <w:rsid w:val="00D13749"/>
    <w:rsid w:val="00D20A33"/>
    <w:rsid w:val="00D2176A"/>
    <w:rsid w:val="00D25202"/>
    <w:rsid w:val="00D270FA"/>
    <w:rsid w:val="00D30C05"/>
    <w:rsid w:val="00D459D9"/>
    <w:rsid w:val="00D74F58"/>
    <w:rsid w:val="00D825CA"/>
    <w:rsid w:val="00D93FCE"/>
    <w:rsid w:val="00DA166B"/>
    <w:rsid w:val="00DA19FB"/>
    <w:rsid w:val="00DC0EBE"/>
    <w:rsid w:val="00DC4425"/>
    <w:rsid w:val="00DC6689"/>
    <w:rsid w:val="00DD2DAD"/>
    <w:rsid w:val="00DE4362"/>
    <w:rsid w:val="00E00CE6"/>
    <w:rsid w:val="00E057B4"/>
    <w:rsid w:val="00E22DA8"/>
    <w:rsid w:val="00E250A5"/>
    <w:rsid w:val="00E52489"/>
    <w:rsid w:val="00E5560D"/>
    <w:rsid w:val="00E75E5E"/>
    <w:rsid w:val="00E904EC"/>
    <w:rsid w:val="00E907C2"/>
    <w:rsid w:val="00E91456"/>
    <w:rsid w:val="00E94ED4"/>
    <w:rsid w:val="00E96B23"/>
    <w:rsid w:val="00EC7E29"/>
    <w:rsid w:val="00EE0A76"/>
    <w:rsid w:val="00EE519A"/>
    <w:rsid w:val="00F01EEF"/>
    <w:rsid w:val="00F1460A"/>
    <w:rsid w:val="00F45F3C"/>
    <w:rsid w:val="00F60D11"/>
    <w:rsid w:val="00F634B5"/>
    <w:rsid w:val="00F638E7"/>
    <w:rsid w:val="00F652F9"/>
    <w:rsid w:val="00F714A7"/>
    <w:rsid w:val="00F724C8"/>
    <w:rsid w:val="00F72ED2"/>
    <w:rsid w:val="00F763A4"/>
    <w:rsid w:val="00F84D25"/>
    <w:rsid w:val="00F9744F"/>
    <w:rsid w:val="00FC7397"/>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odata.charities.govt.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harities.govt.nz/assets/Resouces/data-dictiona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6178D-65D2-4B63-854B-B07D6077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22</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48</cp:revision>
  <cp:lastPrinted>2018-06-09T17:30:00Z</cp:lastPrinted>
  <dcterms:created xsi:type="dcterms:W3CDTF">2019-11-05T10:12:00Z</dcterms:created>
  <dcterms:modified xsi:type="dcterms:W3CDTF">2019-11-08T17:06:00Z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