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6C9" w:rsidRPr="006C3245" w:rsidRDefault="00C40E56" w:rsidP="006C3245">
      <w:pPr>
        <w:spacing w:line="360" w:lineRule="auto"/>
        <w:jc w:val="center"/>
        <w:rPr>
          <w:rFonts w:ascii="Times New Roman" w:hAnsi="Times New Roman" w:cs="Times New Roman"/>
          <w:b/>
        </w:rPr>
      </w:pPr>
      <w:r w:rsidRPr="006C3245">
        <w:rPr>
          <w:rFonts w:ascii="Times New Roman" w:hAnsi="Times New Roman" w:cs="Times New Roman"/>
          <w:b/>
        </w:rPr>
        <w:t xml:space="preserve">Mission Accomplished? A Cross-national Examination of </w:t>
      </w:r>
      <w:r w:rsidR="005C1770" w:rsidRPr="006C3245">
        <w:rPr>
          <w:rFonts w:ascii="Times New Roman" w:hAnsi="Times New Roman" w:cs="Times New Roman"/>
          <w:b/>
        </w:rPr>
        <w:t xml:space="preserve">Charity </w:t>
      </w:r>
      <w:r w:rsidR="00286607" w:rsidRPr="006C3245">
        <w:rPr>
          <w:rFonts w:ascii="Times New Roman" w:hAnsi="Times New Roman" w:cs="Times New Roman"/>
          <w:b/>
        </w:rPr>
        <w:t>Dissolution</w:t>
      </w:r>
    </w:p>
    <w:p w:rsidR="006A4B28" w:rsidRPr="006C3245" w:rsidRDefault="006A4B28" w:rsidP="006C3245">
      <w:pPr>
        <w:spacing w:line="360" w:lineRule="auto"/>
        <w:jc w:val="center"/>
        <w:rPr>
          <w:rFonts w:ascii="Times New Roman" w:hAnsi="Times New Roman" w:cs="Times New Roman"/>
        </w:rPr>
      </w:pPr>
      <w:r w:rsidRPr="006C3245">
        <w:rPr>
          <w:rFonts w:ascii="Times New Roman" w:hAnsi="Times New Roman" w:cs="Times New Roman"/>
        </w:rPr>
        <w:t>Diarmuid McDonnell, Alasdair Rutherford and Carolyn Cordery</w:t>
      </w:r>
    </w:p>
    <w:p w:rsidR="006A4B28" w:rsidRPr="006C3245" w:rsidRDefault="006A4B28" w:rsidP="006C3245">
      <w:pPr>
        <w:spacing w:line="360" w:lineRule="auto"/>
        <w:rPr>
          <w:rFonts w:ascii="Times New Roman" w:hAnsi="Times New Roman" w:cs="Times New Roman"/>
          <w:b/>
        </w:rPr>
      </w:pPr>
      <w:r w:rsidRPr="006C3245">
        <w:rPr>
          <w:rFonts w:ascii="Times New Roman" w:hAnsi="Times New Roman" w:cs="Times New Roman"/>
          <w:b/>
        </w:rPr>
        <w:t>Abstract</w:t>
      </w:r>
    </w:p>
    <w:p w:rsidR="00CE0397" w:rsidRDefault="00CE0397" w:rsidP="006C3245">
      <w:pPr>
        <w:spacing w:line="360" w:lineRule="auto"/>
        <w:rPr>
          <w:rFonts w:ascii="Times New Roman" w:hAnsi="Times New Roman" w:cs="Times New Roman"/>
        </w:rPr>
      </w:pPr>
      <w:r w:rsidRPr="006C3245">
        <w:rPr>
          <w:rFonts w:ascii="Times New Roman" w:hAnsi="Times New Roman" w:cs="Times New Roman"/>
        </w:rPr>
        <w:t>Encouraged by increasing ‘open data’ movements, regulators have made it increasingly easier for stakeholders to access a range of both quantitative and qualitative data about charities and their regulation on a large scale. This project will leverage some of these data resources to examine a topic of considerable public and regulatory importance: charity dissolution, in particular organisations that accomplish their mission. The research objectives are: to examine cross-national trends and predictive factors around charity dissolution; and to provide evidence and guidance for charity regulators seeking to target their activities with respect to this outcome.</w:t>
      </w:r>
    </w:p>
    <w:p w:rsidR="008E3214" w:rsidRPr="008E3214" w:rsidRDefault="008E3214" w:rsidP="008E3214">
      <w:r>
        <w:rPr>
          <w:rFonts w:ascii="Times New Roman" w:hAnsi="Times New Roman" w:cs="Times New Roman"/>
        </w:rPr>
        <w:t>[</w:t>
      </w:r>
      <w:r>
        <w:t>In this paper we review the extent and variety of data available from nonprofit regulators.  In particular, we identify opportunities to use new datasets to better understand governance, accountability and transparency.  We provide some international examples, drawing on our own work, of the rich potential to gain new insights from linking and analysing administrative data. We identify real opportunities for interdisciplinary collaboration, combining accounting, social policy, law and data science in order to address important questions in novel ways.</w:t>
      </w:r>
      <w:bookmarkStart w:id="0" w:name="_GoBack"/>
      <w:bookmarkEnd w:id="0"/>
      <w:r>
        <w:rPr>
          <w:rFonts w:ascii="Times New Roman" w:hAnsi="Times New Roman" w:cs="Times New Roman"/>
        </w:rPr>
        <w:t>]</w:t>
      </w:r>
    </w:p>
    <w:p w:rsidR="00102B9F" w:rsidRPr="006C3245" w:rsidRDefault="005C1770" w:rsidP="006C3245">
      <w:pPr>
        <w:spacing w:line="360" w:lineRule="auto"/>
        <w:rPr>
          <w:rFonts w:ascii="Times New Roman" w:hAnsi="Times New Roman" w:cs="Times New Roman"/>
        </w:rPr>
      </w:pPr>
      <w:r w:rsidRPr="006C3245">
        <w:rPr>
          <w:rFonts w:ascii="Times New Roman" w:hAnsi="Times New Roman" w:cs="Times New Roman"/>
        </w:rPr>
        <w:t xml:space="preserve">This paper describes continuing work to collect, clean, harmonise and analyse international data on charity </w:t>
      </w:r>
      <w:r w:rsidR="00286607" w:rsidRPr="006C3245">
        <w:rPr>
          <w:rFonts w:ascii="Times New Roman" w:hAnsi="Times New Roman" w:cs="Times New Roman"/>
        </w:rPr>
        <w:t>dissolutions</w:t>
      </w:r>
      <w:r w:rsidRPr="006C3245">
        <w:rPr>
          <w:rFonts w:ascii="Times New Roman" w:hAnsi="Times New Roman" w:cs="Times New Roman"/>
        </w:rPr>
        <w:t>, specifically instances where organisations voluntarily relinquish their charitable status. We evaluate whether there is added value from adopting a cross-national approach and the extent to which other jurisdictions could be included in the analysis.</w:t>
      </w:r>
    </w:p>
    <w:p w:rsidR="00AC328C" w:rsidRPr="006C3245" w:rsidRDefault="00102B9F" w:rsidP="006C3245">
      <w:pPr>
        <w:spacing w:line="360" w:lineRule="auto"/>
        <w:rPr>
          <w:rFonts w:ascii="Times New Roman" w:hAnsi="Times New Roman" w:cs="Times New Roman"/>
          <w:b/>
        </w:rPr>
      </w:pPr>
      <w:r w:rsidRPr="006C3245">
        <w:rPr>
          <w:rFonts w:ascii="Times New Roman" w:hAnsi="Times New Roman" w:cs="Times New Roman"/>
        </w:rPr>
        <w:br w:type="page"/>
      </w:r>
      <w:r w:rsidR="00AC328C" w:rsidRPr="006C3245">
        <w:rPr>
          <w:rFonts w:ascii="Times New Roman" w:hAnsi="Times New Roman" w:cs="Times New Roman"/>
          <w:b/>
        </w:rPr>
        <w:lastRenderedPageBreak/>
        <w:t>Introduction</w:t>
      </w:r>
    </w:p>
    <w:p w:rsidR="00AC328C" w:rsidRPr="006C3245" w:rsidRDefault="00AC328C" w:rsidP="006C3245">
      <w:pPr>
        <w:spacing w:line="360" w:lineRule="auto"/>
        <w:rPr>
          <w:rFonts w:ascii="Times New Roman" w:hAnsi="Times New Roman" w:cs="Times New Roman"/>
        </w:rPr>
      </w:pPr>
      <w:r w:rsidRPr="006C3245">
        <w:rPr>
          <w:rFonts w:ascii="Times New Roman" w:hAnsi="Times New Roman" w:cs="Times New Roman"/>
        </w:rPr>
        <w:t>Nonprofit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forthcoming). This requires regulators to leverage their considerable data resources to better target their interventionist and advisory activities, and deliver their mandate. Until recently, relatively little nonprofit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nonprofit regulators are being formed, or reformed, and decisions are being taken about what data to collect, and how to use it (Cordery &amp; Deguchi, 2018). This project will leverage some of these data resources to examine a topic of considerable public and regulatory importance: charity dissolution, in particular organisations that accomplish their mission. The research objectives are: to explore the extent to which large-scale regulatory data can be used to differentiate between different types of charity dissolution; to examine cross-national trends and predictive factors around charity dissolution; and to provide evidence and guidance for charity regulators seeking to target their activities with respect to this outcome.</w:t>
      </w:r>
    </w:p>
    <w:p w:rsidR="00AC328C" w:rsidRPr="006C3245" w:rsidRDefault="00AC328C" w:rsidP="006C3245">
      <w:pPr>
        <w:spacing w:line="360" w:lineRule="auto"/>
        <w:rPr>
          <w:rFonts w:ascii="Times New Roman" w:hAnsi="Times New Roman" w:cs="Times New Roman"/>
          <w:b/>
        </w:rPr>
      </w:pPr>
      <w:r w:rsidRPr="006C3245">
        <w:rPr>
          <w:rFonts w:ascii="Times New Roman" w:hAnsi="Times New Roman" w:cs="Times New Roman"/>
          <w:b/>
        </w:rPr>
        <w:t>Empirical Gap</w:t>
      </w:r>
    </w:p>
    <w:p w:rsidR="006C3245" w:rsidRPr="006C3245" w:rsidRDefault="00AC328C" w:rsidP="006C3245">
      <w:pPr>
        <w:spacing w:line="360" w:lineRule="auto"/>
        <w:rPr>
          <w:rFonts w:ascii="Times New Roman" w:hAnsi="Times New Roman" w:cs="Times New Roman"/>
        </w:rPr>
      </w:pPr>
      <w:r w:rsidRPr="006C3245">
        <w:rPr>
          <w:rFonts w:ascii="Times New Roman" w:hAnsi="Times New Roman" w:cs="Times New Roman"/>
        </w:rPr>
        <w:t>Defining charity success and/or failure has proved problematic (Lecy et al., 2011). There are various conceptualisations of failure including resource reduction, market exit, and mortality (Helmig et al., 2014; (Mellahi &amp; Wilkinson, 2004). On the other hand, charity success is easier to conceptualise but is poorly understood for a number of reasons (Helmig et al., 2014). Extant studies have focused on a limited number of subsectors such as Social Service organisations (Helmig et al., 2014); used observations from small regional study sites (e.g. Wollebaek, 2010); and covered short time periods (e.g. Hager et al., 1996). The most difficult issue has been to unambiguously measure mission accomplishment - those charities that voluntarily cease to exist due to achieving their stated mission - and differentiate it from other forms of dissolution such as organisational wind-up, statutory revocation of charity status due to misconduct, and other forms of ‘mortality’ e.g. amalgamation. By using detailed measures of charity dissolution recorded in large-scale regulatory datasets, this research project provides much-needed granularity, clarity and scale to the various ways charities cease their activities, in particular by seeking to identify those organisations that dissolve as a result of accomplishing their mission.  Understanding the patterns in and explanatory factors of charity dissolution can underpin public understanding of the sector, inform the allocation of funds by donors and government, and guide the activities and interventions of regulators.</w:t>
      </w:r>
    </w:p>
    <w:p w:rsidR="006C3245" w:rsidRPr="006C3245" w:rsidRDefault="006C3245" w:rsidP="006C3245">
      <w:pPr>
        <w:spacing w:line="360" w:lineRule="auto"/>
        <w:rPr>
          <w:rFonts w:ascii="Times New Roman" w:hAnsi="Times New Roman" w:cs="Times New Roman"/>
          <w:b/>
        </w:rPr>
      </w:pPr>
      <w:r w:rsidRPr="006C3245">
        <w:rPr>
          <w:rFonts w:ascii="Times New Roman" w:hAnsi="Times New Roman" w:cs="Times New Roman"/>
          <w:b/>
        </w:rPr>
        <w:t>Methodology</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lastRenderedPageBreak/>
        <w:t>The project is guided by two research questions:</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1) What is the rate of charity dissolution, and does it vary across jurisdictions?</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2) What factors predict mission accomplishment, and do they vary across other forms of charity dissolution?</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 xml:space="preserve">We will seek to answer these questions using regulatory data from three charity jurisdictions: England &amp; Wales, Canada, and New Zealand. These jurisdictions were chosen for a number of reasons: regulatory data are publicly available via an open data portal or database; they cover important regional areas of charity activity; the regulatory regimes are at different stages of development: England &amp; Wales is ‘mature’ (established 1853), Canada is ‘middle aged’ (1967), and New Zealand is ‘adolescent’ (2007); data for each jurisdiction allow us to analyse dissolution over the period of the financial crisis; and the project team have substantive expertise of the charity sector in two of the three areas. </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The data are readily available from each regulator’s data portal:</w:t>
      </w:r>
    </w:p>
    <w:p w:rsidR="006C3245" w:rsidRPr="006C3245" w:rsidRDefault="006C3245" w:rsidP="006C3245">
      <w:pPr>
        <w:pStyle w:val="ListParagraph"/>
        <w:numPr>
          <w:ilvl w:val="0"/>
          <w:numId w:val="3"/>
        </w:numPr>
        <w:spacing w:line="360" w:lineRule="auto"/>
        <w:rPr>
          <w:rFonts w:ascii="Times New Roman" w:hAnsi="Times New Roman" w:cs="Times New Roman"/>
        </w:rPr>
      </w:pPr>
      <w:r w:rsidRPr="006C3245">
        <w:rPr>
          <w:rFonts w:ascii="Times New Roman" w:hAnsi="Times New Roman" w:cs="Times New Roman"/>
        </w:rPr>
        <w:t>http://data.charitycommission.gov.uk/</w:t>
      </w:r>
    </w:p>
    <w:p w:rsidR="006C3245" w:rsidRPr="006C3245" w:rsidRDefault="006C3245" w:rsidP="006C3245">
      <w:pPr>
        <w:pStyle w:val="ListParagraph"/>
        <w:numPr>
          <w:ilvl w:val="0"/>
          <w:numId w:val="3"/>
        </w:numPr>
        <w:spacing w:line="360" w:lineRule="auto"/>
        <w:rPr>
          <w:rFonts w:ascii="Times New Roman" w:hAnsi="Times New Roman" w:cs="Times New Roman"/>
        </w:rPr>
      </w:pPr>
      <w:r w:rsidRPr="006C3245">
        <w:rPr>
          <w:rFonts w:ascii="Times New Roman" w:hAnsi="Times New Roman" w:cs="Times New Roman"/>
        </w:rPr>
        <w:t>https://www.canada.ca/en/revenue-agency/services/charities-giving/charities-listings.html</w:t>
      </w:r>
    </w:p>
    <w:p w:rsidR="006C3245" w:rsidRPr="006C3245" w:rsidRDefault="006C3245" w:rsidP="006C3245">
      <w:pPr>
        <w:pStyle w:val="ListParagraph"/>
        <w:numPr>
          <w:ilvl w:val="0"/>
          <w:numId w:val="3"/>
        </w:numPr>
        <w:spacing w:line="360" w:lineRule="auto"/>
        <w:rPr>
          <w:rFonts w:ascii="Times New Roman" w:hAnsi="Times New Roman" w:cs="Times New Roman"/>
        </w:rPr>
      </w:pPr>
      <w:r w:rsidRPr="006C3245">
        <w:rPr>
          <w:rFonts w:ascii="Times New Roman" w:hAnsi="Times New Roman" w:cs="Times New Roman"/>
        </w:rPr>
        <w:t>https://www.charities.govt.nz/charities-in-new-zealand/the-charities-register/open-data/</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 xml:space="preserve">The data will be collected using Python scripts (an open-source programming language), some of which already exist (see https://github.com/ncvo/charity-commission-extract). The downloaded data will be stored on the University of Birmingham’s encrypted network and access will be granted only to members of the project team. The data will be imported into Stata and a harmonised dataset containing key variables and observations from all three jurisdictions will be produced. We will construct our dissolution variable using the information captured in each regulator's categorical measure of charity de-registration and where appropriate, seek to differentiate further by analysing the free-text field containing a description of why and under which section of the Charity Act the organisation was de-registered. Mission accomplishment is not recorded as a distinct outcome by regulators, therefore our work to differentiate types of dissolution will allow us to construct a novel and robust measure of this phenomenon. </w:t>
      </w:r>
    </w:p>
    <w:p w:rsidR="00AC328C"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We will then conduct statistical analysis of charity dissolution using two main techniques: survival analysis, where we will use Kaplan-Meier and survival curves to explore how long each type of charity dissolution takes to occur; and multinomial regression, where we will examine which factors – drawn from established theoretical frameworks such as resource dependence, population ecology and new institutionalism theory – best predict dissolution.</w:t>
      </w:r>
      <w:r w:rsidR="00AC328C" w:rsidRPr="006C3245">
        <w:rPr>
          <w:rFonts w:ascii="Times New Roman" w:hAnsi="Times New Roman" w:cs="Times New Roman"/>
        </w:rPr>
        <w:br w:type="page"/>
      </w:r>
    </w:p>
    <w:p w:rsidR="00AC328C" w:rsidRDefault="006C3245" w:rsidP="006C3245">
      <w:pPr>
        <w:spacing w:line="360" w:lineRule="auto"/>
        <w:rPr>
          <w:rFonts w:ascii="Times New Roman" w:hAnsi="Times New Roman" w:cs="Times New Roman"/>
          <w:b/>
        </w:rPr>
      </w:pPr>
      <w:r w:rsidRPr="006C3245">
        <w:rPr>
          <w:rFonts w:ascii="Times New Roman" w:hAnsi="Times New Roman" w:cs="Times New Roman"/>
          <w:b/>
        </w:rPr>
        <w:lastRenderedPageBreak/>
        <w:t>Results</w:t>
      </w:r>
    </w:p>
    <w:p w:rsidR="005A393E" w:rsidRDefault="006B2E40" w:rsidP="006C3245">
      <w:pPr>
        <w:spacing w:line="360" w:lineRule="auto"/>
        <w:rPr>
          <w:rFonts w:ascii="Times New Roman" w:hAnsi="Times New Roman" w:cs="Times New Roman"/>
        </w:rPr>
      </w:pPr>
      <w:r>
        <w:rPr>
          <w:rFonts w:ascii="Times New Roman" w:hAnsi="Times New Roman" w:cs="Times New Roman"/>
        </w:rPr>
        <w:t>In Canada there are three forms of charity de-registration</w:t>
      </w:r>
      <w:r w:rsidR="0064214F">
        <w:rPr>
          <w:rFonts w:ascii="Times New Roman" w:hAnsi="Times New Roman" w:cs="Times New Roman"/>
        </w:rPr>
        <w:t xml:space="preserve">: </w:t>
      </w:r>
    </w:p>
    <w:p w:rsidR="005A393E" w:rsidRPr="005A393E" w:rsidRDefault="0064214F" w:rsidP="005A393E">
      <w:pPr>
        <w:pStyle w:val="ListParagraph"/>
        <w:numPr>
          <w:ilvl w:val="0"/>
          <w:numId w:val="4"/>
        </w:numPr>
        <w:spacing w:line="360" w:lineRule="auto"/>
        <w:rPr>
          <w:rFonts w:ascii="Times New Roman" w:hAnsi="Times New Roman" w:cs="Times New Roman"/>
        </w:rPr>
      </w:pPr>
      <w:r w:rsidRPr="005A393E">
        <w:rPr>
          <w:rFonts w:ascii="Times New Roman" w:hAnsi="Times New Roman" w:cs="Times New Roman"/>
        </w:rPr>
        <w:t xml:space="preserve">removal by the regulator (e.g. </w:t>
      </w:r>
      <w:r w:rsidR="005A393E" w:rsidRPr="005A393E">
        <w:rPr>
          <w:rFonts w:ascii="Times New Roman" w:hAnsi="Times New Roman" w:cs="Times New Roman"/>
        </w:rPr>
        <w:t>failure to file annual returns and accounts</w:t>
      </w:r>
      <w:r w:rsidRPr="005A393E">
        <w:rPr>
          <w:rFonts w:ascii="Times New Roman" w:hAnsi="Times New Roman" w:cs="Times New Roman"/>
        </w:rPr>
        <w:t xml:space="preserve">); </w:t>
      </w:r>
    </w:p>
    <w:p w:rsidR="005A393E" w:rsidRPr="005A393E" w:rsidRDefault="0064214F" w:rsidP="005A393E">
      <w:pPr>
        <w:pStyle w:val="ListParagraph"/>
        <w:numPr>
          <w:ilvl w:val="0"/>
          <w:numId w:val="4"/>
        </w:numPr>
        <w:spacing w:line="360" w:lineRule="auto"/>
        <w:rPr>
          <w:rFonts w:ascii="Times New Roman" w:hAnsi="Times New Roman" w:cs="Times New Roman"/>
        </w:rPr>
      </w:pPr>
      <w:r w:rsidRPr="005A393E">
        <w:rPr>
          <w:rFonts w:ascii="Times New Roman" w:hAnsi="Times New Roman" w:cs="Times New Roman"/>
        </w:rPr>
        <w:t xml:space="preserve">voluntary dissolution (e.g. mergers and amalgamation, mission accomplishment, insufficient resources); </w:t>
      </w:r>
    </w:p>
    <w:p w:rsidR="0098532B" w:rsidRDefault="0064214F" w:rsidP="005A393E">
      <w:pPr>
        <w:pStyle w:val="ListParagraph"/>
        <w:numPr>
          <w:ilvl w:val="0"/>
          <w:numId w:val="4"/>
        </w:numPr>
        <w:spacing w:line="360" w:lineRule="auto"/>
        <w:rPr>
          <w:rFonts w:ascii="Times New Roman" w:hAnsi="Times New Roman" w:cs="Times New Roman"/>
        </w:rPr>
      </w:pPr>
      <w:r w:rsidRPr="005A393E">
        <w:rPr>
          <w:rFonts w:ascii="Times New Roman" w:hAnsi="Times New Roman" w:cs="Times New Roman"/>
        </w:rPr>
        <w:t>and miscellaneous reasons (e.g. losing corporate status)</w:t>
      </w:r>
      <w:r w:rsidR="006B2E40" w:rsidRPr="005A393E">
        <w:rPr>
          <w:rFonts w:ascii="Times New Roman" w:hAnsi="Times New Roman" w:cs="Times New Roman"/>
        </w:rPr>
        <w:t>.</w:t>
      </w:r>
    </w:p>
    <w:p w:rsidR="005A393E" w:rsidRPr="005A393E" w:rsidRDefault="005A393E" w:rsidP="006C3245">
      <w:pPr>
        <w:spacing w:line="360" w:lineRule="auto"/>
        <w:rPr>
          <w:rFonts w:ascii="Times New Roman" w:hAnsi="Times New Roman" w:cs="Times New Roman"/>
        </w:rPr>
      </w:pPr>
      <w:r>
        <w:rPr>
          <w:rFonts w:ascii="Times New Roman" w:hAnsi="Times New Roman" w:cs="Times New Roman"/>
        </w:rPr>
        <w:t>S</w:t>
      </w:r>
      <w:r w:rsidRPr="005A393E">
        <w:rPr>
          <w:rFonts w:ascii="Times New Roman" w:hAnsi="Times New Roman" w:cs="Times New Roman"/>
        </w:rPr>
        <w:t>ee Appendix A for a full list of de-registration reasons in our three jurisdictions</w:t>
      </w:r>
      <w:r w:rsidR="006C4472">
        <w:rPr>
          <w:rFonts w:ascii="Times New Roman" w:hAnsi="Times New Roman" w:cs="Times New Roman"/>
        </w:rPr>
        <w:t>.</w:t>
      </w:r>
    </w:p>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b/>
        </w:rPr>
        <w:t>Table 1.</w:t>
      </w:r>
      <w:r w:rsidRPr="005A393E">
        <w:rPr>
          <w:rFonts w:ascii="Times New Roman" w:hAnsi="Times New Roman" w:cs="Times New Roman"/>
        </w:rPr>
        <w:t xml:space="preserve"> Current status of charities, by jurisdiction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135"/>
        <w:gridCol w:w="850"/>
        <w:gridCol w:w="283"/>
        <w:gridCol w:w="993"/>
        <w:gridCol w:w="708"/>
        <w:gridCol w:w="285"/>
        <w:gridCol w:w="1188"/>
        <w:gridCol w:w="749"/>
      </w:tblGrid>
      <w:tr w:rsidR="005A393E" w:rsidRPr="005A393E" w:rsidTr="005A393E">
        <w:tc>
          <w:tcPr>
            <w:tcW w:w="1570" w:type="pct"/>
            <w:tcBorders>
              <w:top w:val="single" w:sz="4" w:space="0" w:color="auto"/>
              <w:left w:val="nil"/>
              <w:bottom w:val="nil"/>
              <w:right w:val="nil"/>
            </w:tcBorders>
          </w:tcPr>
          <w:p w:rsidR="005A393E" w:rsidRPr="005A393E" w:rsidRDefault="005A393E">
            <w:pPr>
              <w:spacing w:line="360" w:lineRule="auto"/>
              <w:rPr>
                <w:rFonts w:ascii="Times New Roman" w:hAnsi="Times New Roman" w:cs="Times New Roman"/>
              </w:rPr>
            </w:pPr>
          </w:p>
        </w:tc>
        <w:tc>
          <w:tcPr>
            <w:tcW w:w="1100" w:type="pct"/>
            <w:gridSpan w:val="2"/>
            <w:tcBorders>
              <w:top w:val="single" w:sz="4" w:space="0" w:color="auto"/>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England &amp; Wales</w:t>
            </w:r>
          </w:p>
        </w:tc>
        <w:tc>
          <w:tcPr>
            <w:tcW w:w="157" w:type="pct"/>
            <w:tcBorders>
              <w:top w:val="single" w:sz="4" w:space="0" w:color="auto"/>
              <w:left w:val="nil"/>
              <w:bottom w:val="nil"/>
              <w:right w:val="nil"/>
            </w:tcBorders>
          </w:tcPr>
          <w:p w:rsidR="005A393E" w:rsidRPr="005A393E" w:rsidRDefault="005A393E">
            <w:pPr>
              <w:spacing w:line="360" w:lineRule="auto"/>
              <w:jc w:val="right"/>
              <w:rPr>
                <w:rFonts w:ascii="Times New Roman" w:hAnsi="Times New Roman" w:cs="Times New Roman"/>
              </w:rPr>
            </w:pPr>
          </w:p>
        </w:tc>
        <w:tc>
          <w:tcPr>
            <w:tcW w:w="942" w:type="pct"/>
            <w:gridSpan w:val="2"/>
            <w:tcBorders>
              <w:top w:val="single" w:sz="4" w:space="0" w:color="auto"/>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 xml:space="preserve">New Zealand </w:t>
            </w:r>
          </w:p>
        </w:tc>
        <w:tc>
          <w:tcPr>
            <w:tcW w:w="158" w:type="pct"/>
            <w:tcBorders>
              <w:top w:val="single" w:sz="4" w:space="0" w:color="auto"/>
              <w:left w:val="nil"/>
              <w:bottom w:val="nil"/>
              <w:right w:val="nil"/>
            </w:tcBorders>
          </w:tcPr>
          <w:p w:rsidR="005A393E" w:rsidRPr="005A393E" w:rsidRDefault="005A393E">
            <w:pPr>
              <w:spacing w:line="36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Canada</w:t>
            </w:r>
          </w:p>
        </w:tc>
      </w:tr>
      <w:tr w:rsidR="005A393E" w:rsidRPr="005A393E" w:rsidTr="005A393E">
        <w:tc>
          <w:tcPr>
            <w:tcW w:w="1570" w:type="pct"/>
            <w:vAlign w:val="bottom"/>
            <w:hideMark/>
          </w:tcPr>
          <w:p w:rsidR="005A393E" w:rsidRPr="005A393E" w:rsidRDefault="005A393E">
            <w:pPr>
              <w:spacing w:line="360" w:lineRule="auto"/>
              <w:rPr>
                <w:rFonts w:ascii="Times New Roman" w:hAnsi="Times New Roman" w:cs="Times New Roman"/>
                <w:color w:val="000000"/>
              </w:rPr>
            </w:pPr>
            <w:r w:rsidRPr="005A393E">
              <w:rPr>
                <w:rFonts w:ascii="Times New Roman" w:hAnsi="Times New Roman" w:cs="Times New Roman"/>
              </w:rPr>
              <w:t>Status</w:t>
            </w:r>
          </w:p>
        </w:tc>
        <w:tc>
          <w:tcPr>
            <w:tcW w:w="629"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71"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7" w:type="pct"/>
            <w:tcBorders>
              <w:top w:val="nil"/>
              <w:left w:val="nil"/>
              <w:bottom w:val="single" w:sz="4" w:space="0" w:color="auto"/>
              <w:right w:val="nil"/>
            </w:tcBorders>
          </w:tcPr>
          <w:p w:rsidR="005A393E" w:rsidRPr="005A393E" w:rsidRDefault="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392"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8" w:type="pct"/>
            <w:tcBorders>
              <w:top w:val="nil"/>
              <w:left w:val="nil"/>
              <w:bottom w:val="single" w:sz="4" w:space="0" w:color="auto"/>
              <w:right w:val="nil"/>
            </w:tcBorders>
          </w:tcPr>
          <w:p w:rsidR="005A393E" w:rsidRPr="005A393E" w:rsidRDefault="005A393E">
            <w:pPr>
              <w:spacing w:line="360" w:lineRule="auto"/>
              <w:jc w:val="right"/>
              <w:rPr>
                <w:rFonts w:ascii="Times New Roman" w:hAnsi="Times New Roman" w:cs="Times New Roman"/>
                <w:color w:val="000000"/>
              </w:rPr>
            </w:pPr>
          </w:p>
        </w:tc>
        <w:tc>
          <w:tcPr>
            <w:tcW w:w="658"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15"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r>
      <w:tr w:rsidR="005A393E" w:rsidRPr="005A393E" w:rsidTr="005A393E">
        <w:tc>
          <w:tcPr>
            <w:tcW w:w="1570" w:type="pct"/>
            <w:tcBorders>
              <w:top w:val="single" w:sz="4" w:space="0" w:color="auto"/>
              <w:left w:val="nil"/>
              <w:bottom w:val="nil"/>
              <w:right w:val="nil"/>
            </w:tcBorders>
            <w:vAlign w:val="bottom"/>
            <w:hideMark/>
          </w:tcPr>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Active</w:t>
            </w:r>
          </w:p>
        </w:tc>
        <w:tc>
          <w:tcPr>
            <w:tcW w:w="629" w:type="pct"/>
            <w:tcBorders>
              <w:top w:val="single" w:sz="4" w:space="0" w:color="auto"/>
              <w:left w:val="nil"/>
              <w:bottom w:val="nil"/>
              <w:right w:val="nil"/>
            </w:tcBorders>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168,210</w:t>
            </w:r>
          </w:p>
        </w:tc>
        <w:tc>
          <w:tcPr>
            <w:tcW w:w="471" w:type="pct"/>
            <w:tcBorders>
              <w:top w:val="single" w:sz="4" w:space="0" w:color="auto"/>
              <w:left w:val="nil"/>
              <w:bottom w:val="nil"/>
              <w:right w:val="nil"/>
            </w:tcBorders>
            <w:vAlign w:val="bottom"/>
            <w:hideMark/>
          </w:tcPr>
          <w:p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53</w:t>
            </w:r>
          </w:p>
        </w:tc>
        <w:tc>
          <w:tcPr>
            <w:tcW w:w="157" w:type="pct"/>
            <w:tcBorders>
              <w:top w:val="single" w:sz="4" w:space="0" w:color="auto"/>
              <w:left w:val="nil"/>
              <w:bottom w:val="nil"/>
              <w:right w:val="nil"/>
            </w:tcBorders>
          </w:tcPr>
          <w:p w:rsidR="005A393E" w:rsidRPr="005A393E" w:rsidRDefault="005A393E" w:rsidP="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27,280</w:t>
            </w:r>
          </w:p>
        </w:tc>
        <w:tc>
          <w:tcPr>
            <w:tcW w:w="392" w:type="pct"/>
            <w:tcBorders>
              <w:top w:val="single" w:sz="4" w:space="0" w:color="auto"/>
              <w:left w:val="nil"/>
              <w:bottom w:val="nil"/>
              <w:right w:val="nil"/>
            </w:tcBorders>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77</w:t>
            </w:r>
          </w:p>
        </w:tc>
        <w:tc>
          <w:tcPr>
            <w:tcW w:w="158" w:type="pct"/>
            <w:tcBorders>
              <w:top w:val="single" w:sz="4" w:space="0" w:color="auto"/>
              <w:left w:val="nil"/>
              <w:bottom w:val="nil"/>
              <w:right w:val="nil"/>
            </w:tcBorders>
          </w:tcPr>
          <w:p w:rsidR="005A393E" w:rsidRPr="005A393E" w:rsidRDefault="005A393E" w:rsidP="005A393E"/>
        </w:tc>
        <w:tc>
          <w:tcPr>
            <w:tcW w:w="658" w:type="pct"/>
            <w:tcBorders>
              <w:top w:val="single" w:sz="4" w:space="0" w:color="auto"/>
              <w:left w:val="nil"/>
              <w:bottom w:val="nil"/>
              <w:right w:val="nil"/>
            </w:tcBorders>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86,246</w:t>
            </w:r>
          </w:p>
        </w:tc>
        <w:tc>
          <w:tcPr>
            <w:tcW w:w="415" w:type="pct"/>
            <w:tcBorders>
              <w:top w:val="single" w:sz="4" w:space="0" w:color="auto"/>
              <w:left w:val="nil"/>
              <w:bottom w:val="nil"/>
              <w:right w:val="nil"/>
            </w:tcBorders>
          </w:tcPr>
          <w:p w:rsidR="005A393E" w:rsidRPr="005A393E" w:rsidRDefault="005A393E" w:rsidP="005A393E">
            <w:pPr>
              <w:jc w:val="right"/>
              <w:rPr>
                <w:rFonts w:ascii="Times New Roman" w:hAnsi="Times New Roman" w:cs="Times New Roman"/>
              </w:rPr>
            </w:pPr>
            <w:r>
              <w:rPr>
                <w:rFonts w:ascii="Times New Roman" w:hAnsi="Times New Roman" w:cs="Times New Roman"/>
              </w:rPr>
              <w:t>68</w:t>
            </w:r>
          </w:p>
        </w:tc>
      </w:tr>
      <w:tr w:rsidR="005A393E" w:rsidRPr="005A393E" w:rsidTr="005A393E">
        <w:tc>
          <w:tcPr>
            <w:tcW w:w="1570" w:type="pct"/>
            <w:vAlign w:val="bottom"/>
            <w:hideMark/>
          </w:tcPr>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Failed</w:t>
            </w:r>
          </w:p>
        </w:tc>
        <w:tc>
          <w:tcPr>
            <w:tcW w:w="629" w:type="pct"/>
            <w:vAlign w:val="bottom"/>
            <w:hideMark/>
          </w:tcPr>
          <w:p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471" w:type="pct"/>
            <w:vAlign w:val="bottom"/>
            <w:hideMark/>
          </w:tcPr>
          <w:p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157" w:type="pct"/>
          </w:tcPr>
          <w:p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5,563</w:t>
            </w:r>
          </w:p>
        </w:tc>
        <w:tc>
          <w:tcPr>
            <w:tcW w:w="392"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16</w:t>
            </w:r>
          </w:p>
        </w:tc>
        <w:tc>
          <w:tcPr>
            <w:tcW w:w="158" w:type="pct"/>
          </w:tcPr>
          <w:p w:rsidR="005A393E" w:rsidRPr="005A393E" w:rsidRDefault="005A393E" w:rsidP="005A393E"/>
        </w:tc>
        <w:tc>
          <w:tcPr>
            <w:tcW w:w="658" w:type="pct"/>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21,478</w:t>
            </w:r>
          </w:p>
        </w:tc>
        <w:tc>
          <w:tcPr>
            <w:tcW w:w="415" w:type="pct"/>
          </w:tcPr>
          <w:p w:rsidR="005A393E" w:rsidRPr="005A393E" w:rsidRDefault="005A393E" w:rsidP="005A393E">
            <w:pPr>
              <w:jc w:val="right"/>
              <w:rPr>
                <w:rFonts w:ascii="Times New Roman" w:hAnsi="Times New Roman" w:cs="Times New Roman"/>
              </w:rPr>
            </w:pPr>
            <w:r>
              <w:rPr>
                <w:rFonts w:ascii="Times New Roman" w:hAnsi="Times New Roman" w:cs="Times New Roman"/>
              </w:rPr>
              <w:t>17</w:t>
            </w:r>
          </w:p>
        </w:tc>
      </w:tr>
      <w:tr w:rsidR="005A393E" w:rsidRPr="005A393E" w:rsidTr="005A393E">
        <w:tc>
          <w:tcPr>
            <w:tcW w:w="1570" w:type="pct"/>
            <w:vAlign w:val="bottom"/>
            <w:hideMark/>
          </w:tcPr>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 xml:space="preserve">Voluntary </w:t>
            </w:r>
            <w:r>
              <w:rPr>
                <w:rFonts w:ascii="Times New Roman" w:hAnsi="Times New Roman" w:cs="Times New Roman"/>
                <w:color w:val="000000"/>
              </w:rPr>
              <w:t>Dissolution</w:t>
            </w:r>
          </w:p>
        </w:tc>
        <w:tc>
          <w:tcPr>
            <w:tcW w:w="629"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85,598</w:t>
            </w:r>
          </w:p>
        </w:tc>
        <w:tc>
          <w:tcPr>
            <w:tcW w:w="471"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2</w:t>
            </w:r>
          </w:p>
        </w:tc>
        <w:tc>
          <w:tcPr>
            <w:tcW w:w="157" w:type="pct"/>
          </w:tcPr>
          <w:p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2,606</w:t>
            </w:r>
          </w:p>
        </w:tc>
        <w:tc>
          <w:tcPr>
            <w:tcW w:w="392"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7</w:t>
            </w:r>
          </w:p>
        </w:tc>
        <w:tc>
          <w:tcPr>
            <w:tcW w:w="158" w:type="pct"/>
          </w:tcPr>
          <w:p w:rsidR="005A393E" w:rsidRPr="005A393E" w:rsidRDefault="005A393E" w:rsidP="005A393E"/>
        </w:tc>
        <w:tc>
          <w:tcPr>
            <w:tcW w:w="658" w:type="pct"/>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18,519</w:t>
            </w:r>
          </w:p>
        </w:tc>
        <w:tc>
          <w:tcPr>
            <w:tcW w:w="415" w:type="pct"/>
          </w:tcPr>
          <w:p w:rsidR="005A393E" w:rsidRPr="005A393E" w:rsidRDefault="005A393E" w:rsidP="005A393E">
            <w:pPr>
              <w:jc w:val="right"/>
              <w:rPr>
                <w:rFonts w:ascii="Times New Roman" w:hAnsi="Times New Roman" w:cs="Times New Roman"/>
              </w:rPr>
            </w:pPr>
            <w:r>
              <w:rPr>
                <w:rFonts w:ascii="Times New Roman" w:hAnsi="Times New Roman" w:cs="Times New Roman"/>
              </w:rPr>
              <w:t>15</w:t>
            </w:r>
          </w:p>
        </w:tc>
      </w:tr>
      <w:tr w:rsidR="005A393E" w:rsidRPr="005A393E" w:rsidTr="005A393E">
        <w:tc>
          <w:tcPr>
            <w:tcW w:w="1570" w:type="pct"/>
            <w:vAlign w:val="bottom"/>
            <w:hideMark/>
          </w:tcPr>
          <w:p w:rsidR="005A393E" w:rsidRPr="005A393E" w:rsidRDefault="005A393E" w:rsidP="005A393E">
            <w:pPr>
              <w:spacing w:line="360" w:lineRule="auto"/>
              <w:rPr>
                <w:rFonts w:ascii="Times New Roman" w:hAnsi="Times New Roman" w:cs="Times New Roman"/>
              </w:rPr>
            </w:pPr>
            <w:r>
              <w:rPr>
                <w:rFonts w:ascii="Times New Roman" w:hAnsi="Times New Roman" w:cs="Times New Roman"/>
                <w:color w:val="000000"/>
              </w:rPr>
              <w:t>Other De-registration</w:t>
            </w:r>
          </w:p>
        </w:tc>
        <w:tc>
          <w:tcPr>
            <w:tcW w:w="629"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62,516</w:t>
            </w:r>
          </w:p>
        </w:tc>
        <w:tc>
          <w:tcPr>
            <w:tcW w:w="471"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9</w:t>
            </w:r>
          </w:p>
        </w:tc>
        <w:tc>
          <w:tcPr>
            <w:tcW w:w="157" w:type="pct"/>
          </w:tcPr>
          <w:p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266</w:t>
            </w:r>
          </w:p>
        </w:tc>
        <w:tc>
          <w:tcPr>
            <w:tcW w:w="392"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1</w:t>
            </w:r>
          </w:p>
        </w:tc>
        <w:tc>
          <w:tcPr>
            <w:tcW w:w="158" w:type="pct"/>
          </w:tcPr>
          <w:p w:rsidR="005A393E" w:rsidRPr="005A393E" w:rsidRDefault="005A393E" w:rsidP="005A393E"/>
        </w:tc>
        <w:tc>
          <w:tcPr>
            <w:tcW w:w="658" w:type="pct"/>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95</w:t>
            </w:r>
          </w:p>
        </w:tc>
        <w:tc>
          <w:tcPr>
            <w:tcW w:w="415" w:type="pct"/>
          </w:tcPr>
          <w:p w:rsidR="005A393E" w:rsidRPr="005A393E" w:rsidRDefault="005A393E" w:rsidP="005A393E">
            <w:pPr>
              <w:jc w:val="right"/>
              <w:rPr>
                <w:rFonts w:ascii="Times New Roman" w:hAnsi="Times New Roman" w:cs="Times New Roman"/>
              </w:rPr>
            </w:pPr>
            <w:r>
              <w:rPr>
                <w:rFonts w:ascii="Times New Roman" w:hAnsi="Times New Roman" w:cs="Times New Roman"/>
              </w:rPr>
              <w:t>0</w:t>
            </w:r>
          </w:p>
        </w:tc>
      </w:tr>
      <w:tr w:rsidR="005A393E" w:rsidRPr="005A393E" w:rsidTr="005A393E">
        <w:tc>
          <w:tcPr>
            <w:tcW w:w="1570" w:type="pct"/>
            <w:tcBorders>
              <w:top w:val="nil"/>
              <w:left w:val="nil"/>
              <w:bottom w:val="single" w:sz="4" w:space="0" w:color="auto"/>
              <w:right w:val="nil"/>
            </w:tcBorders>
            <w:hideMark/>
          </w:tcPr>
          <w:p w:rsidR="005A393E" w:rsidRPr="005A393E" w:rsidRDefault="005A393E">
            <w:pPr>
              <w:spacing w:line="360" w:lineRule="auto"/>
              <w:rPr>
                <w:rFonts w:ascii="Times New Roman" w:hAnsi="Times New Roman" w:cs="Times New Roman"/>
                <w:b/>
              </w:rPr>
            </w:pPr>
            <w:r w:rsidRPr="005A393E">
              <w:rPr>
                <w:rFonts w:ascii="Times New Roman" w:hAnsi="Times New Roman" w:cs="Times New Roman"/>
                <w:b/>
              </w:rPr>
              <w:t>Total</w:t>
            </w:r>
          </w:p>
        </w:tc>
        <w:tc>
          <w:tcPr>
            <w:tcW w:w="629" w:type="pct"/>
            <w:tcBorders>
              <w:top w:val="nil"/>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239,203</w:t>
            </w:r>
          </w:p>
        </w:tc>
        <w:tc>
          <w:tcPr>
            <w:tcW w:w="471" w:type="pct"/>
            <w:tcBorders>
              <w:top w:val="nil"/>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100</w:t>
            </w:r>
          </w:p>
        </w:tc>
        <w:tc>
          <w:tcPr>
            <w:tcW w:w="157" w:type="pct"/>
            <w:tcBorders>
              <w:top w:val="nil"/>
              <w:left w:val="nil"/>
              <w:bottom w:val="single" w:sz="4" w:space="0" w:color="auto"/>
              <w:right w:val="nil"/>
            </w:tcBorders>
          </w:tcPr>
          <w:p w:rsidR="005A393E" w:rsidRPr="005A393E" w:rsidRDefault="005A393E">
            <w:pPr>
              <w:spacing w:line="360" w:lineRule="auto"/>
              <w:jc w:val="right"/>
              <w:rPr>
                <w:rFonts w:ascii="Times New Roman" w:hAnsi="Times New Roman" w:cs="Times New Roman"/>
                <w:b/>
              </w:rPr>
            </w:pPr>
          </w:p>
        </w:tc>
        <w:tc>
          <w:tcPr>
            <w:tcW w:w="550" w:type="pct"/>
            <w:tcBorders>
              <w:top w:val="nil"/>
              <w:left w:val="nil"/>
              <w:bottom w:val="single" w:sz="4" w:space="0" w:color="auto"/>
              <w:right w:val="nil"/>
            </w:tcBorders>
            <w:hideMark/>
          </w:tcPr>
          <w:p w:rsidR="005A393E" w:rsidRPr="005A393E" w:rsidRDefault="005A393E">
            <w:pPr>
              <w:jc w:val="right"/>
              <w:rPr>
                <w:rFonts w:ascii="Times New Roman" w:hAnsi="Times New Roman" w:cs="Times New Roman"/>
                <w:b/>
              </w:rPr>
            </w:pPr>
            <w:r w:rsidRPr="005A393E">
              <w:rPr>
                <w:rFonts w:ascii="Times New Roman" w:hAnsi="Times New Roman" w:cs="Times New Roman"/>
                <w:b/>
              </w:rPr>
              <w:t>35,715</w:t>
            </w:r>
          </w:p>
        </w:tc>
        <w:tc>
          <w:tcPr>
            <w:tcW w:w="392" w:type="pct"/>
            <w:tcBorders>
              <w:top w:val="nil"/>
              <w:left w:val="nil"/>
              <w:bottom w:val="single" w:sz="4" w:space="0" w:color="auto"/>
              <w:right w:val="nil"/>
            </w:tcBorders>
            <w:hideMark/>
          </w:tcPr>
          <w:p w:rsidR="005A393E" w:rsidRPr="005A393E" w:rsidRDefault="005A393E">
            <w:pPr>
              <w:jc w:val="right"/>
              <w:rPr>
                <w:rFonts w:ascii="Times New Roman" w:hAnsi="Times New Roman" w:cs="Times New Roman"/>
                <w:b/>
              </w:rPr>
            </w:pPr>
            <w:r w:rsidRPr="005A393E">
              <w:rPr>
                <w:rFonts w:ascii="Times New Roman" w:hAnsi="Times New Roman" w:cs="Times New Roman"/>
                <w:b/>
              </w:rPr>
              <w:t>100</w:t>
            </w:r>
          </w:p>
        </w:tc>
        <w:tc>
          <w:tcPr>
            <w:tcW w:w="158" w:type="pct"/>
            <w:tcBorders>
              <w:top w:val="nil"/>
              <w:left w:val="nil"/>
              <w:bottom w:val="single" w:sz="4" w:space="0" w:color="auto"/>
              <w:right w:val="nil"/>
            </w:tcBorders>
          </w:tcPr>
          <w:p w:rsidR="005A393E" w:rsidRPr="005A393E" w:rsidRDefault="005A393E"/>
        </w:tc>
        <w:tc>
          <w:tcPr>
            <w:tcW w:w="658" w:type="pct"/>
            <w:tcBorders>
              <w:top w:val="nil"/>
              <w:left w:val="nil"/>
              <w:bottom w:val="single" w:sz="4" w:space="0" w:color="auto"/>
              <w:right w:val="nil"/>
            </w:tcBorders>
          </w:tcPr>
          <w:p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126,338</w:t>
            </w:r>
          </w:p>
        </w:tc>
        <w:tc>
          <w:tcPr>
            <w:tcW w:w="415" w:type="pct"/>
            <w:tcBorders>
              <w:top w:val="nil"/>
              <w:left w:val="nil"/>
              <w:bottom w:val="single" w:sz="4" w:space="0" w:color="auto"/>
              <w:right w:val="nil"/>
            </w:tcBorders>
          </w:tcPr>
          <w:p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100</w:t>
            </w:r>
          </w:p>
        </w:tc>
      </w:tr>
    </w:tbl>
    <w:p w:rsidR="005A393E" w:rsidRDefault="005A393E" w:rsidP="005A393E">
      <w:pPr>
        <w:rPr>
          <w:rFonts w:ascii="Times New Roman" w:hAnsi="Times New Roman" w:cs="Times New Roman"/>
          <w:sz w:val="20"/>
          <w:szCs w:val="20"/>
        </w:rPr>
      </w:pPr>
      <w:r>
        <w:rPr>
          <w:rFonts w:ascii="Times New Roman" w:hAnsi="Times New Roman" w:cs="Times New Roman"/>
          <w:i/>
          <w:sz w:val="20"/>
          <w:szCs w:val="20"/>
        </w:rPr>
        <w:t>Note:</w:t>
      </w:r>
      <w:r>
        <w:rPr>
          <w:rFonts w:ascii="Times New Roman" w:hAnsi="Times New Roman" w:cs="Times New Roman"/>
          <w:sz w:val="20"/>
          <w:szCs w:val="20"/>
        </w:rPr>
        <w:t xml:space="preserve"> Percentages rounded to whole number. n = the number of charities for which we have no missing data for all of the independent variables in the statistical models.</w:t>
      </w:r>
      <w:r>
        <w:rPr>
          <w:rFonts w:ascii="Times New Roman" w:hAnsi="Times New Roman" w:cs="Times New Roman"/>
          <w:sz w:val="20"/>
          <w:szCs w:val="20"/>
        </w:rPr>
        <w:br/>
      </w:r>
      <w:r>
        <w:rPr>
          <w:rFonts w:ascii="Times New Roman" w:hAnsi="Times New Roman" w:cs="Times New Roman"/>
          <w:i/>
          <w:sz w:val="20"/>
          <w:szCs w:val="20"/>
        </w:rPr>
        <w:t>Source:</w:t>
      </w:r>
      <w:r>
        <w:rPr>
          <w:rFonts w:ascii="Times New Roman" w:hAnsi="Times New Roman" w:cs="Times New Roman"/>
          <w:sz w:val="20"/>
          <w:szCs w:val="20"/>
        </w:rPr>
        <w:t xml:space="preserve"> Charity Commission Register of Charities (31/12/2016); [NZ REGULATOR (DOWNLOAD DATE)]; [CANADA REGULATOR (DOWNLOAD DATE)].</w:t>
      </w:r>
    </w:p>
    <w:p w:rsidR="006C4472" w:rsidRDefault="006C4472">
      <w:pPr>
        <w:rPr>
          <w:rFonts w:ascii="Times New Roman" w:hAnsi="Times New Roman" w:cs="Times New Roman"/>
          <w:b/>
        </w:rPr>
      </w:pPr>
      <w:r>
        <w:rPr>
          <w:rFonts w:ascii="Times New Roman" w:hAnsi="Times New Roman" w:cs="Times New Roman"/>
          <w:b/>
        </w:rPr>
        <w:br w:type="page"/>
      </w:r>
    </w:p>
    <w:p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1.</w:t>
      </w:r>
      <w:r>
        <w:rPr>
          <w:rFonts w:ascii="Times New Roman" w:hAnsi="Times New Roman" w:cs="Times New Roman"/>
        </w:rPr>
        <w:t xml:space="preserve"> Canada – De-registration reasons, 2007-</w:t>
      </w:r>
    </w:p>
    <w:p w:rsidR="00883E38" w:rsidRDefault="00883E38" w:rsidP="006C3245">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extent cx="5731510" cy="416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_removedreason_01jun201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rsidR="006C4472" w:rsidRDefault="006C4472">
      <w:pPr>
        <w:rPr>
          <w:rFonts w:ascii="Times New Roman" w:hAnsi="Times New Roman" w:cs="Times New Roman"/>
          <w:b/>
        </w:rPr>
      </w:pPr>
      <w:r>
        <w:rPr>
          <w:rFonts w:ascii="Times New Roman" w:hAnsi="Times New Roman" w:cs="Times New Roman"/>
          <w:b/>
        </w:rPr>
        <w:br w:type="page"/>
      </w:r>
    </w:p>
    <w:p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2.</w:t>
      </w:r>
      <w:r>
        <w:rPr>
          <w:rFonts w:ascii="Times New Roman" w:hAnsi="Times New Roman" w:cs="Times New Roman"/>
        </w:rPr>
        <w:t xml:space="preserve"> England &amp; Wales - De-registration reasons, 2007-</w:t>
      </w:r>
    </w:p>
    <w:p w:rsidR="00883E38" w:rsidRDefault="00883E38" w:rsidP="006C3245">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extent cx="5731510" cy="4168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w_removedreason_01jun20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rsidR="006C4472" w:rsidRDefault="006C4472">
      <w:pPr>
        <w:rPr>
          <w:rFonts w:ascii="Times New Roman" w:hAnsi="Times New Roman" w:cs="Times New Roman"/>
          <w:b/>
        </w:rPr>
      </w:pPr>
      <w:r>
        <w:rPr>
          <w:rFonts w:ascii="Times New Roman" w:hAnsi="Times New Roman" w:cs="Times New Roman"/>
          <w:b/>
        </w:rPr>
        <w:br w:type="page"/>
      </w:r>
    </w:p>
    <w:p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3.</w:t>
      </w:r>
      <w:r>
        <w:rPr>
          <w:rFonts w:ascii="Times New Roman" w:hAnsi="Times New Roman" w:cs="Times New Roman"/>
        </w:rPr>
        <w:t xml:space="preserve"> New Zealand - De-registration reasons, 2007-</w:t>
      </w:r>
    </w:p>
    <w:p w:rsidR="00883E38" w:rsidRPr="005A393E" w:rsidRDefault="006C4472" w:rsidP="006C3245">
      <w:pPr>
        <w:spacing w:line="360" w:lineRule="auto"/>
        <w:rPr>
          <w:rFonts w:ascii="Times New Roman" w:hAnsi="Times New Roman" w:cs="Times New Roman"/>
        </w:rPr>
      </w:pPr>
      <w:r>
        <w:rPr>
          <w:noProof/>
          <w:lang w:eastAsia="en-GB"/>
        </w:rPr>
        <w:drawing>
          <wp:inline distT="0" distB="0" distL="0" distR="0" wp14:anchorId="48CF1B8D" wp14:editId="39626BE8">
            <wp:extent cx="5731510" cy="41973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197350"/>
                    </a:xfrm>
                    <a:prstGeom prst="rect">
                      <a:avLst/>
                    </a:prstGeom>
                    <a:noFill/>
                    <a:ln>
                      <a:noFill/>
                    </a:ln>
                  </pic:spPr>
                </pic:pic>
              </a:graphicData>
            </a:graphic>
          </wp:inline>
        </w:drawing>
      </w:r>
    </w:p>
    <w:p w:rsidR="00B73859" w:rsidRPr="00BD14E8" w:rsidRDefault="00B73859" w:rsidP="006C3245">
      <w:pPr>
        <w:spacing w:line="360" w:lineRule="auto"/>
        <w:rPr>
          <w:rFonts w:ascii="Times New Roman" w:hAnsi="Times New Roman" w:cs="Times New Roman"/>
          <w:b/>
        </w:rPr>
      </w:pPr>
      <w:r w:rsidRPr="00BD14E8">
        <w:rPr>
          <w:rFonts w:ascii="Times New Roman" w:hAnsi="Times New Roman" w:cs="Times New Roman"/>
          <w:b/>
        </w:rPr>
        <w:t>Notes</w:t>
      </w:r>
    </w:p>
    <w:p w:rsidR="00B73859" w:rsidRPr="00BD14E8" w:rsidRDefault="00B73859" w:rsidP="006C3245">
      <w:pPr>
        <w:spacing w:line="360" w:lineRule="auto"/>
        <w:rPr>
          <w:rFonts w:ascii="Times New Roman" w:hAnsi="Times New Roman" w:cs="Times New Roman"/>
        </w:rPr>
        <w:sectPr w:rsidR="00B73859" w:rsidRPr="00BD14E8" w:rsidSect="00AC328C">
          <w:footerReference w:type="default" r:id="rId10"/>
          <w:pgSz w:w="11906" w:h="16838"/>
          <w:pgMar w:top="1440" w:right="1440" w:bottom="1440" w:left="1440" w:header="708" w:footer="708" w:gutter="0"/>
          <w:cols w:space="708"/>
          <w:docGrid w:linePitch="360"/>
        </w:sectPr>
      </w:pPr>
      <w:r w:rsidRPr="00BD14E8">
        <w:rPr>
          <w:rFonts w:ascii="Times New Roman" w:hAnsi="Times New Roman" w:cs="Times New Roman"/>
        </w:rPr>
        <w:t xml:space="preserve">Voluntary dissolution is not comparable (yet) between the three </w:t>
      </w:r>
      <w:r w:rsidR="00A81E5B" w:rsidRPr="00BD14E8">
        <w:rPr>
          <w:rFonts w:ascii="Times New Roman" w:hAnsi="Times New Roman" w:cs="Times New Roman"/>
        </w:rPr>
        <w:t>juris</w:t>
      </w:r>
      <w:r w:rsidRPr="00BD14E8">
        <w:rPr>
          <w:rFonts w:ascii="Times New Roman" w:hAnsi="Times New Roman" w:cs="Times New Roman"/>
        </w:rPr>
        <w:t>dictions</w:t>
      </w:r>
      <w:r w:rsidR="00A81E5B" w:rsidRPr="00BD14E8">
        <w:rPr>
          <w:rFonts w:ascii="Times New Roman" w:hAnsi="Times New Roman" w:cs="Times New Roman"/>
        </w:rPr>
        <w:t>: in Canada mergers and amalgamations cannot be differentiated from other forms, something we can do with England &amp; Wales and New Zealand.</w:t>
      </w:r>
    </w:p>
    <w:p w:rsidR="00CE0397" w:rsidRDefault="00CE0397" w:rsidP="00CE0397">
      <w:pPr>
        <w:jc w:val="center"/>
        <w:rPr>
          <w:b/>
        </w:rPr>
      </w:pPr>
      <w:r>
        <w:rPr>
          <w:b/>
        </w:rPr>
        <w:lastRenderedPageBreak/>
        <w:t>Appendices</w:t>
      </w:r>
    </w:p>
    <w:p w:rsidR="00102B9F" w:rsidRPr="00B75AE0" w:rsidRDefault="00CE0397" w:rsidP="005C1770">
      <w:pPr>
        <w:rPr>
          <w:b/>
        </w:rPr>
      </w:pPr>
      <w:r>
        <w:rPr>
          <w:b/>
        </w:rPr>
        <w:t xml:space="preserve">Appendix A - </w:t>
      </w:r>
      <w:r w:rsidR="00557F25" w:rsidRPr="00B75AE0">
        <w:rPr>
          <w:b/>
        </w:rPr>
        <w:t>Defining Dissolution</w:t>
      </w:r>
    </w:p>
    <w:p w:rsidR="00B11B55" w:rsidRDefault="00B11B55" w:rsidP="005C1770">
      <w:r>
        <w:t>Can we distinguish failure of entity (i.e. dissolution) from other</w:t>
      </w:r>
      <w:r w:rsidR="00B75AE0">
        <w:t xml:space="preserve"> ‘failures’ i.e. failure to file.</w:t>
      </w:r>
    </w:p>
    <w:tbl>
      <w:tblPr>
        <w:tblStyle w:val="TableGrid"/>
        <w:tblW w:w="5000" w:type="pct"/>
        <w:tblLook w:val="04A0" w:firstRow="1" w:lastRow="0" w:firstColumn="1" w:lastColumn="0" w:noHBand="0" w:noVBand="1"/>
      </w:tblPr>
      <w:tblGrid>
        <w:gridCol w:w="2263"/>
        <w:gridCol w:w="2979"/>
        <w:gridCol w:w="8706"/>
      </w:tblGrid>
      <w:tr w:rsidR="00106294" w:rsidRPr="00C155E0" w:rsidTr="00C155E0">
        <w:tc>
          <w:tcPr>
            <w:tcW w:w="811" w:type="pct"/>
          </w:tcPr>
          <w:p w:rsidR="00106294" w:rsidRPr="00C155E0" w:rsidRDefault="00106294" w:rsidP="00C155E0">
            <w:pPr>
              <w:spacing w:line="276" w:lineRule="auto"/>
              <w:rPr>
                <w:rFonts w:ascii="Times New Roman" w:hAnsi="Times New Roman" w:cs="Times New Roman"/>
                <w:b/>
              </w:rPr>
            </w:pPr>
            <w:r w:rsidRPr="00C155E0">
              <w:rPr>
                <w:rFonts w:ascii="Times New Roman" w:hAnsi="Times New Roman" w:cs="Times New Roman"/>
                <w:b/>
              </w:rPr>
              <w:t>Country</w:t>
            </w:r>
          </w:p>
        </w:tc>
        <w:tc>
          <w:tcPr>
            <w:tcW w:w="1068" w:type="pct"/>
          </w:tcPr>
          <w:p w:rsidR="00106294" w:rsidRPr="00C155E0" w:rsidRDefault="00106294" w:rsidP="00C155E0">
            <w:pPr>
              <w:spacing w:line="276" w:lineRule="auto"/>
              <w:rPr>
                <w:rFonts w:ascii="Times New Roman" w:hAnsi="Times New Roman" w:cs="Times New Roman"/>
                <w:b/>
              </w:rPr>
            </w:pPr>
            <w:r w:rsidRPr="00C155E0">
              <w:rPr>
                <w:rFonts w:ascii="Times New Roman" w:hAnsi="Times New Roman" w:cs="Times New Roman"/>
                <w:b/>
              </w:rPr>
              <w:t>De-registration Type</w:t>
            </w:r>
          </w:p>
        </w:tc>
        <w:tc>
          <w:tcPr>
            <w:tcW w:w="3122" w:type="pct"/>
          </w:tcPr>
          <w:p w:rsidR="00106294" w:rsidRPr="00C155E0" w:rsidRDefault="00106294" w:rsidP="00C155E0">
            <w:pPr>
              <w:spacing w:line="276" w:lineRule="auto"/>
              <w:rPr>
                <w:rFonts w:ascii="Times New Roman" w:hAnsi="Times New Roman" w:cs="Times New Roman"/>
                <w:b/>
              </w:rPr>
            </w:pPr>
            <w:r w:rsidRPr="00C155E0">
              <w:rPr>
                <w:rFonts w:ascii="Times New Roman" w:hAnsi="Times New Roman" w:cs="Times New Roman"/>
                <w:b/>
              </w:rPr>
              <w:t>Description</w:t>
            </w:r>
          </w:p>
        </w:tc>
      </w:tr>
      <w:tr w:rsidR="00106294" w:rsidRPr="00C155E0" w:rsidTr="00C155E0">
        <w:tc>
          <w:tcPr>
            <w:tcW w:w="811" w:type="pct"/>
            <w:vMerge w:val="restar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Canada</w:t>
            </w: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Annulled</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Regulator ends a charity’s registration without revoking it i.e. as if it was never a charity to begin with.</w:t>
            </w:r>
            <w:r w:rsidR="00F84D25" w:rsidRPr="00C155E0">
              <w:rPr>
                <w:rFonts w:ascii="Times New Roman" w:hAnsi="Times New Roman" w:cs="Times New Roman"/>
              </w:rPr>
              <w:t xml:space="preserve"> It is applied exclusively to charities whose registration was granted in error, and to charities that no longer qualify for registration because of a change in the law.</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Audited</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Revoked by regulator for failure to comply with charity law/regulation:</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devoting your resources to your charitable purposes and activities.</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keeping adequate books and records.</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having direction and control over your resources.</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Failure To File</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If you do not file a complete return within six months of the end of your fiscal period, we will start the revocation process.</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Other</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A variety of other reasons, one example of which is if you have lost your corporate status, your registration may be revoked.</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Voluntary</w:t>
            </w:r>
          </w:p>
        </w:tc>
        <w:tc>
          <w:tcPr>
            <w:tcW w:w="3122" w:type="pct"/>
          </w:tcPr>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Can measure:</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ended your operations because you merged or consolidated with another organization</w:t>
            </w:r>
            <w:r w:rsidRPr="00C155E0">
              <w:rPr>
                <w:rFonts w:ascii="Times New Roman" w:hAnsi="Times New Roman" w:cs="Times New Roman"/>
              </w:rPr>
              <w:t>.</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achieved your goal (for example, you were established to build a playground and you did)</w:t>
            </w:r>
            <w:r w:rsidRPr="00C155E0">
              <w:rPr>
                <w:rFonts w:ascii="Times New Roman" w:hAnsi="Times New Roman" w:cs="Times New Roman"/>
              </w:rPr>
              <w:t>.</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no longer have the required financial or physical resources to run your charity</w:t>
            </w:r>
            <w:r w:rsidRPr="00C155E0">
              <w:rPr>
                <w:rFonts w:ascii="Times New Roman" w:hAnsi="Times New Roman" w:cs="Times New Roman"/>
              </w:rPr>
              <w:t>.</w:t>
            </w:r>
          </w:p>
        </w:tc>
      </w:tr>
      <w:tr w:rsidR="00C155E0" w:rsidRPr="00C155E0" w:rsidTr="00C155E0">
        <w:tc>
          <w:tcPr>
            <w:tcW w:w="811" w:type="pct"/>
            <w:vMerge w:val="restar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New Zealand</w:t>
            </w: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Failed To File</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removed the charity because they did not file their annual returns despite follow up by Charities Services. [Section 42]</w:t>
            </w:r>
          </w:p>
        </w:tc>
      </w:tr>
      <w:tr w:rsidR="00C155E0" w:rsidRPr="00C155E0" w:rsidTr="00C155E0">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Non-compliance</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has the authority to deregister a charity that:</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no longer meets the requirements for registration;</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xml:space="preserve">- has acted in a way that is considered to be "serious wrongdoing"; </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has "significantly and persistently" failed to comply with the Act.</w:t>
            </w:r>
          </w:p>
        </w:tc>
      </w:tr>
      <w:tr w:rsidR="00C155E0" w:rsidRPr="00C155E0" w:rsidTr="00C155E0">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Request</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also request to be der</w:t>
            </w:r>
            <w:r w:rsidR="008D64DD">
              <w:rPr>
                <w:rFonts w:ascii="Times New Roman" w:hAnsi="Times New Roman" w:cs="Times New Roman"/>
              </w:rPr>
              <w:t>e</w:t>
            </w:r>
            <w:r w:rsidRPr="00C155E0">
              <w:rPr>
                <w:rFonts w:ascii="Times New Roman" w:hAnsi="Times New Roman" w:cs="Times New Roman"/>
              </w:rPr>
              <w:t>gistered for the following reason: when Charities Services began compliance action the charity asked to be removed rather than make a submission. [Section 31]</w:t>
            </w:r>
          </w:p>
        </w:tc>
      </w:tr>
      <w:tr w:rsidR="00C155E0" w:rsidRPr="00C155E0" w:rsidTr="00C155E0">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Voluntary</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ask to be deregistered at any time and for any reason.  For example, a charity may request deregistration if it is winding-up and will cease to exist. [Section 32 (1)(f)]</w:t>
            </w:r>
          </w:p>
        </w:tc>
      </w:tr>
      <w:tr w:rsidR="00106294" w:rsidRPr="00C155E0" w:rsidTr="00C155E0">
        <w:tc>
          <w:tcPr>
            <w:tcW w:w="811"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England &amp; Wales</w:t>
            </w:r>
          </w:p>
        </w:tc>
        <w:tc>
          <w:tcPr>
            <w:tcW w:w="1068" w:type="pct"/>
          </w:tcPr>
          <w:p w:rsidR="00106294" w:rsidRPr="00C155E0" w:rsidRDefault="00BE6CB6" w:rsidP="00C155E0">
            <w:pPr>
              <w:spacing w:line="276" w:lineRule="auto"/>
              <w:rPr>
                <w:rFonts w:ascii="Times New Roman" w:hAnsi="Times New Roman" w:cs="Times New Roman"/>
              </w:rPr>
            </w:pPr>
            <w:r>
              <w:rPr>
                <w:rFonts w:ascii="Times New Roman" w:hAnsi="Times New Roman" w:cs="Times New Roman"/>
              </w:rPr>
              <w:t>Other</w:t>
            </w:r>
          </w:p>
        </w:tc>
        <w:tc>
          <w:tcPr>
            <w:tcW w:w="3122" w:type="pct"/>
          </w:tcPr>
          <w:p w:rsidR="00106294" w:rsidRPr="00C155E0" w:rsidRDefault="00BE6CB6" w:rsidP="00C155E0">
            <w:pPr>
              <w:spacing w:line="276" w:lineRule="auto"/>
              <w:rPr>
                <w:rFonts w:ascii="Times New Roman" w:hAnsi="Times New Roman" w:cs="Times New Roman"/>
              </w:rPr>
            </w:pPr>
            <w:r>
              <w:rPr>
                <w:rFonts w:ascii="Times New Roman" w:hAnsi="Times New Roman" w:cs="Times New Roman"/>
              </w:rPr>
              <w:t>17 other categories of ‘removed reason’ in the data: amalgamated, excepted, funds transferred, funds spent etc.</w:t>
            </w:r>
          </w:p>
        </w:tc>
      </w:tr>
      <w:tr w:rsidR="0011795B" w:rsidRPr="00C155E0" w:rsidTr="00C155E0">
        <w:tc>
          <w:tcPr>
            <w:tcW w:w="811" w:type="pct"/>
          </w:tcPr>
          <w:p w:rsidR="0011795B" w:rsidRPr="00C155E0" w:rsidRDefault="0011795B" w:rsidP="00C155E0">
            <w:pPr>
              <w:spacing w:line="276" w:lineRule="auto"/>
              <w:rPr>
                <w:rFonts w:ascii="Times New Roman" w:hAnsi="Times New Roman" w:cs="Times New Roman"/>
              </w:rPr>
            </w:pPr>
          </w:p>
        </w:tc>
        <w:tc>
          <w:tcPr>
            <w:tcW w:w="1068" w:type="pct"/>
          </w:tcPr>
          <w:p w:rsidR="0011795B" w:rsidRDefault="0011795B" w:rsidP="00C155E0">
            <w:pPr>
              <w:spacing w:line="276" w:lineRule="auto"/>
              <w:rPr>
                <w:rFonts w:ascii="Times New Roman" w:hAnsi="Times New Roman" w:cs="Times New Roman"/>
              </w:rPr>
            </w:pPr>
            <w:r>
              <w:rPr>
                <w:rFonts w:ascii="Times New Roman" w:hAnsi="Times New Roman" w:cs="Times New Roman"/>
              </w:rPr>
              <w:t>Failure To File</w:t>
            </w:r>
          </w:p>
        </w:tc>
        <w:tc>
          <w:tcPr>
            <w:tcW w:w="3122" w:type="pct"/>
          </w:tcPr>
          <w:p w:rsidR="0011795B" w:rsidRDefault="0011795B" w:rsidP="00C155E0">
            <w:pPr>
              <w:spacing w:line="276" w:lineRule="auto"/>
              <w:rPr>
                <w:rFonts w:ascii="Times New Roman" w:hAnsi="Times New Roman" w:cs="Times New Roman"/>
              </w:rPr>
            </w:pPr>
            <w:r>
              <w:rPr>
                <w:rFonts w:ascii="Times New Roman" w:hAnsi="Times New Roman" w:cs="Times New Roman"/>
              </w:rPr>
              <w:t>Not a distinct reason in the data, is captured by the ‘Ceased to exist’ and ‘Does not operate’ reasons.</w:t>
            </w:r>
            <w:r w:rsidR="002F681E">
              <w:rPr>
                <w:rFonts w:ascii="Times New Roman" w:hAnsi="Times New Roman" w:cs="Times New Roman"/>
              </w:rPr>
              <w:t xml:space="preserve"> We may be able to make the assumption that charities with missing data for ‘latest_income’ were removed for failure to file.</w:t>
            </w:r>
          </w:p>
        </w:tc>
      </w:tr>
      <w:tr w:rsidR="008D64DD" w:rsidRPr="00C155E0" w:rsidTr="00C155E0">
        <w:tc>
          <w:tcPr>
            <w:tcW w:w="811" w:type="pct"/>
          </w:tcPr>
          <w:p w:rsidR="008D64DD" w:rsidRPr="00C155E0" w:rsidRDefault="008D64DD" w:rsidP="00C155E0">
            <w:pPr>
              <w:spacing w:line="276" w:lineRule="auto"/>
              <w:rPr>
                <w:rFonts w:ascii="Times New Roman" w:hAnsi="Times New Roman" w:cs="Times New Roman"/>
              </w:rPr>
            </w:pPr>
          </w:p>
        </w:tc>
        <w:tc>
          <w:tcPr>
            <w:tcW w:w="1068" w:type="pct"/>
          </w:tcPr>
          <w:p w:rsidR="008D64DD" w:rsidRPr="00C155E0" w:rsidRDefault="008D64DD" w:rsidP="00C155E0">
            <w:pPr>
              <w:spacing w:line="276" w:lineRule="auto"/>
              <w:rPr>
                <w:rFonts w:ascii="Times New Roman" w:hAnsi="Times New Roman" w:cs="Times New Roman"/>
              </w:rPr>
            </w:pPr>
            <w:r>
              <w:rPr>
                <w:rFonts w:ascii="Times New Roman" w:hAnsi="Times New Roman" w:cs="Times New Roman"/>
              </w:rPr>
              <w:t>Dissolution</w:t>
            </w:r>
          </w:p>
        </w:tc>
        <w:tc>
          <w:tcPr>
            <w:tcW w:w="3122" w:type="pct"/>
          </w:tcPr>
          <w:p w:rsidR="008D64DD" w:rsidRDefault="008D64DD" w:rsidP="00C155E0">
            <w:pPr>
              <w:spacing w:line="276" w:lineRule="auto"/>
              <w:rPr>
                <w:rFonts w:ascii="Times New Roman" w:hAnsi="Times New Roman" w:cs="Times New Roman"/>
              </w:rPr>
            </w:pPr>
            <w:r>
              <w:rPr>
                <w:rFonts w:ascii="Times New Roman" w:hAnsi="Times New Roman" w:cs="Times New Roman"/>
              </w:rPr>
              <w:t>Two reasons</w:t>
            </w:r>
            <w:r w:rsidR="00156483">
              <w:rPr>
                <w:rFonts w:ascii="Times New Roman" w:hAnsi="Times New Roman" w:cs="Times New Roman"/>
              </w:rPr>
              <w:t>,</w:t>
            </w:r>
            <w:r w:rsidR="002867BD">
              <w:rPr>
                <w:rFonts w:ascii="Times New Roman" w:hAnsi="Times New Roman" w:cs="Times New Roman"/>
              </w:rPr>
              <w:t xml:space="preserve"> and differences between incorporated and unincorporated</w:t>
            </w:r>
            <w:r>
              <w:rPr>
                <w:rFonts w:ascii="Times New Roman" w:hAnsi="Times New Roman" w:cs="Times New Roman"/>
              </w:rPr>
              <w:t>:</w:t>
            </w:r>
          </w:p>
          <w:p w:rsidR="008D64DD" w:rsidRDefault="008D64DD" w:rsidP="002867BD">
            <w:pPr>
              <w:spacing w:line="276" w:lineRule="auto"/>
              <w:rPr>
                <w:rFonts w:ascii="Times New Roman" w:hAnsi="Times New Roman" w:cs="Times New Roman"/>
              </w:rPr>
            </w:pPr>
            <w:r>
              <w:rPr>
                <w:rFonts w:ascii="Times New Roman" w:hAnsi="Times New Roman" w:cs="Times New Roman"/>
              </w:rPr>
              <w:t xml:space="preserve">- </w:t>
            </w:r>
            <w:r w:rsidR="002867BD">
              <w:rPr>
                <w:rFonts w:ascii="Times New Roman" w:hAnsi="Times New Roman" w:cs="Times New Roman"/>
              </w:rPr>
              <w:t>Incorporated: ‘</w:t>
            </w:r>
            <w:r>
              <w:rPr>
                <w:rFonts w:ascii="Times New Roman" w:hAnsi="Times New Roman" w:cs="Times New Roman"/>
              </w:rPr>
              <w:t>Ceased to exist</w:t>
            </w:r>
            <w:r w:rsidR="002867BD">
              <w:rPr>
                <w:rFonts w:ascii="Times New Roman" w:hAnsi="Times New Roman" w:cs="Times New Roman"/>
              </w:rPr>
              <w:t>’ means it has dissolved (i.e. struck off Companies House Register), and ‘</w:t>
            </w:r>
            <w:r>
              <w:rPr>
                <w:rFonts w:ascii="Times New Roman" w:hAnsi="Times New Roman" w:cs="Times New Roman"/>
              </w:rPr>
              <w:t>Does not operate</w:t>
            </w:r>
            <w:r w:rsidR="002867BD">
              <w:rPr>
                <w:rFonts w:ascii="Times New Roman" w:hAnsi="Times New Roman" w:cs="Times New Roman"/>
              </w:rPr>
              <w:t xml:space="preserve">’ means it has not dissolved but </w:t>
            </w:r>
            <w:r w:rsidR="00156483">
              <w:rPr>
                <w:rFonts w:ascii="Times New Roman" w:hAnsi="Times New Roman" w:cs="Times New Roman"/>
              </w:rPr>
              <w:t>is</w:t>
            </w:r>
            <w:r w:rsidR="002867BD">
              <w:rPr>
                <w:rFonts w:ascii="Times New Roman" w:hAnsi="Times New Roman" w:cs="Times New Roman"/>
              </w:rPr>
              <w:t xml:space="preserve"> effectively defunct because it has no assets.</w:t>
            </w:r>
          </w:p>
          <w:p w:rsidR="00401A25" w:rsidRPr="00C155E0" w:rsidRDefault="00FF145F" w:rsidP="002867BD">
            <w:pPr>
              <w:spacing w:line="276" w:lineRule="auto"/>
              <w:rPr>
                <w:rFonts w:ascii="Times New Roman" w:hAnsi="Times New Roman" w:cs="Times New Roman"/>
              </w:rPr>
            </w:pPr>
            <w:r>
              <w:rPr>
                <w:rFonts w:ascii="Times New Roman" w:hAnsi="Times New Roman" w:cs="Times New Roman"/>
              </w:rPr>
              <w:t>- U</w:t>
            </w:r>
            <w:r w:rsidR="00401A25">
              <w:rPr>
                <w:rFonts w:ascii="Times New Roman" w:hAnsi="Times New Roman" w:cs="Times New Roman"/>
              </w:rPr>
              <w:t xml:space="preserve">nincorporated: </w:t>
            </w:r>
            <w:r w:rsidR="00401A25" w:rsidRPr="00401A25">
              <w:rPr>
                <w:rFonts w:ascii="Times New Roman" w:hAnsi="Times New Roman" w:cs="Times New Roman"/>
              </w:rPr>
              <w:t xml:space="preserve">An unincorporated charity will </w:t>
            </w:r>
            <w:r w:rsidR="00401A25">
              <w:rPr>
                <w:rFonts w:ascii="Times New Roman" w:hAnsi="Times New Roman" w:cs="Times New Roman"/>
              </w:rPr>
              <w:t>‘</w:t>
            </w:r>
            <w:r w:rsidR="00401A25" w:rsidRPr="00401A25">
              <w:rPr>
                <w:rFonts w:ascii="Times New Roman" w:hAnsi="Times New Roman" w:cs="Times New Roman"/>
              </w:rPr>
              <w:t>cease to exist</w:t>
            </w:r>
            <w:r w:rsidR="00401A25">
              <w:rPr>
                <w:rFonts w:ascii="Times New Roman" w:hAnsi="Times New Roman" w:cs="Times New Roman"/>
              </w:rPr>
              <w:t>’</w:t>
            </w:r>
            <w:r w:rsidR="00401A25" w:rsidRPr="00401A25">
              <w:rPr>
                <w:rFonts w:ascii="Times New Roman" w:hAnsi="Times New Roman" w:cs="Times New Roman"/>
              </w:rPr>
              <w:t xml:space="preserve"> once it has no assets whether or not it has actually been legally dissolved.</w:t>
            </w:r>
          </w:p>
        </w:tc>
      </w:tr>
      <w:tr w:rsidR="008D64DD" w:rsidRPr="00C155E0" w:rsidTr="00C155E0">
        <w:tc>
          <w:tcPr>
            <w:tcW w:w="811" w:type="pct"/>
          </w:tcPr>
          <w:p w:rsidR="008D64DD" w:rsidRPr="00C155E0" w:rsidRDefault="008D64DD" w:rsidP="00C155E0">
            <w:pPr>
              <w:spacing w:line="276" w:lineRule="auto"/>
              <w:rPr>
                <w:rFonts w:ascii="Times New Roman" w:hAnsi="Times New Roman" w:cs="Times New Roman"/>
              </w:rPr>
            </w:pPr>
          </w:p>
        </w:tc>
        <w:tc>
          <w:tcPr>
            <w:tcW w:w="1068" w:type="pct"/>
          </w:tcPr>
          <w:p w:rsidR="008D64DD" w:rsidRPr="00C155E0" w:rsidRDefault="008D64DD" w:rsidP="00C155E0">
            <w:pPr>
              <w:spacing w:line="276" w:lineRule="auto"/>
              <w:rPr>
                <w:rFonts w:ascii="Times New Roman" w:hAnsi="Times New Roman" w:cs="Times New Roman"/>
              </w:rPr>
            </w:pPr>
            <w:r>
              <w:rPr>
                <w:rFonts w:ascii="Times New Roman" w:hAnsi="Times New Roman" w:cs="Times New Roman"/>
              </w:rPr>
              <w:t>Voluntary</w:t>
            </w:r>
          </w:p>
        </w:tc>
        <w:tc>
          <w:tcPr>
            <w:tcW w:w="3122" w:type="pct"/>
          </w:tcPr>
          <w:p w:rsidR="008D64DD" w:rsidRDefault="008D64DD" w:rsidP="008D64DD">
            <w:pPr>
              <w:spacing w:line="276" w:lineRule="auto"/>
              <w:rPr>
                <w:rFonts w:ascii="Times New Roman" w:hAnsi="Times New Roman" w:cs="Times New Roman"/>
              </w:rPr>
            </w:pPr>
            <w:r>
              <w:rPr>
                <w:rFonts w:ascii="Times New Roman" w:hAnsi="Times New Roman" w:cs="Times New Roman"/>
              </w:rPr>
              <w:t>This variable captures voluntary removal from the Register, rather than dissolution, windup, merger etc:</w:t>
            </w:r>
          </w:p>
          <w:p w:rsidR="008D64DD" w:rsidRPr="008D64DD" w:rsidRDefault="008D64DD"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an exempt charity (which we will remove once identified, without the need for a removal request from the trustees);</w:t>
            </w:r>
          </w:p>
          <w:p w:rsidR="008D64DD" w:rsidRDefault="008D64DD"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w:t>
            </w:r>
            <w:r>
              <w:rPr>
                <w:rFonts w:ascii="Times New Roman" w:hAnsi="Times New Roman" w:cs="Times New Roman"/>
              </w:rPr>
              <w:t xml:space="preserve">ity which is for the time being </w:t>
            </w:r>
            <w:r w:rsidRPr="008D64DD">
              <w:rPr>
                <w:rFonts w:ascii="Times New Roman" w:hAnsi="Times New Roman" w:cs="Times New Roman"/>
              </w:rPr>
              <w:t>permanently or temporarily excepted by order or regulation of the Commission or the Secretary of State; and</w:t>
            </w:r>
            <w:r>
              <w:rPr>
                <w:rFonts w:ascii="Times New Roman" w:hAnsi="Times New Roman" w:cs="Times New Roman"/>
              </w:rPr>
              <w:t xml:space="preserve"> </w:t>
            </w:r>
            <w:r w:rsidRPr="008D64DD">
              <w:rPr>
                <w:rFonts w:ascii="Times New Roman" w:hAnsi="Times New Roman" w:cs="Times New Roman"/>
              </w:rPr>
              <w:t>complies with any conditions of the exception, and</w:t>
            </w:r>
            <w:r>
              <w:rPr>
                <w:rFonts w:ascii="Times New Roman" w:hAnsi="Times New Roman" w:cs="Times New Roman"/>
              </w:rPr>
              <w:t xml:space="preserve"> </w:t>
            </w:r>
            <w:r w:rsidRPr="008D64DD">
              <w:rPr>
                <w:rFonts w:ascii="Times New Roman" w:hAnsi="Times New Roman" w:cs="Times New Roman"/>
              </w:rPr>
              <w:t xml:space="preserve">whose gross income does not exceed £100,000; </w:t>
            </w:r>
          </w:p>
          <w:p w:rsidR="008D64DD" w:rsidRPr="00C155E0" w:rsidRDefault="008D64DD"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charity whose income does not exceed £5,000</w:t>
            </w:r>
            <w:r w:rsidR="002867BD">
              <w:rPr>
                <w:rFonts w:ascii="Times New Roman" w:hAnsi="Times New Roman" w:cs="Times New Roman"/>
              </w:rPr>
              <w:t xml:space="preserve"> (LOOKS TO BE THE MAIN REASON)</w:t>
            </w:r>
            <w:r w:rsidRPr="008D64DD">
              <w:rPr>
                <w:rFonts w:ascii="Times New Roman" w:hAnsi="Times New Roman" w:cs="Times New Roman"/>
              </w:rPr>
              <w:t>.</w:t>
            </w:r>
          </w:p>
        </w:tc>
      </w:tr>
    </w:tbl>
    <w:p w:rsidR="00557F25" w:rsidRDefault="00557F25" w:rsidP="005C1770"/>
    <w:p w:rsidR="00102B9F" w:rsidRPr="0011795B" w:rsidRDefault="00AA4066" w:rsidP="005C1770">
      <w:pPr>
        <w:rPr>
          <w:b/>
        </w:rPr>
      </w:pPr>
      <w:r w:rsidRPr="0011795B">
        <w:rPr>
          <w:b/>
        </w:rPr>
        <w:t>Summary</w:t>
      </w:r>
    </w:p>
    <w:p w:rsidR="00AA4066" w:rsidRDefault="00AA4066" w:rsidP="005C1770">
      <w:r>
        <w:t>It looks like we can study dissolution across the three jurisdictions, though not without some measurement issues:</w:t>
      </w:r>
    </w:p>
    <w:p w:rsidR="00AA4066" w:rsidRDefault="00AA4066" w:rsidP="00401A25">
      <w:pPr>
        <w:pStyle w:val="ListParagraph"/>
        <w:numPr>
          <w:ilvl w:val="0"/>
          <w:numId w:val="2"/>
        </w:numPr>
      </w:pPr>
      <w:r>
        <w:t xml:space="preserve">New Zealand: </w:t>
      </w:r>
      <w:r w:rsidR="0011795B">
        <w:t>‘</w:t>
      </w:r>
      <w:r>
        <w:t>Voluntary</w:t>
      </w:r>
      <w:r w:rsidR="0011795B">
        <w:t>’</w:t>
      </w:r>
      <w:r>
        <w:t xml:space="preserve"> captures other reasons besides winding up, though we may be able to disaggregate in the data.</w:t>
      </w:r>
    </w:p>
    <w:p w:rsidR="00AA4066" w:rsidRDefault="00AA4066" w:rsidP="00401A25">
      <w:pPr>
        <w:pStyle w:val="ListParagraph"/>
        <w:numPr>
          <w:ilvl w:val="0"/>
          <w:numId w:val="2"/>
        </w:numPr>
      </w:pPr>
      <w:r>
        <w:t xml:space="preserve">England &amp; Wales: </w:t>
      </w:r>
      <w:r w:rsidR="0011795B">
        <w:t>‘</w:t>
      </w:r>
      <w:r>
        <w:t>Dissolution</w:t>
      </w:r>
      <w:r w:rsidR="0011795B">
        <w:t>’</w:t>
      </w:r>
      <w:r w:rsidR="00567AA9">
        <w:t xml:space="preserve"> is fairly unambiguous: ceased to exist or does not operate.</w:t>
      </w:r>
    </w:p>
    <w:p w:rsidR="00AA4066" w:rsidRDefault="00AA4066" w:rsidP="00401A25">
      <w:pPr>
        <w:pStyle w:val="ListParagraph"/>
        <w:numPr>
          <w:ilvl w:val="0"/>
          <w:numId w:val="2"/>
        </w:numPr>
      </w:pPr>
      <w:r>
        <w:t xml:space="preserve">Canada: </w:t>
      </w:r>
      <w:r w:rsidR="00567AA9">
        <w:t>‘</w:t>
      </w:r>
      <w:r>
        <w:t>Revoked – Voluntary</w:t>
      </w:r>
      <w:r w:rsidR="0011795B">
        <w:t>’</w:t>
      </w:r>
      <w:r>
        <w:t xml:space="preserve"> captures other reasons besides winding up.</w:t>
      </w:r>
    </w:p>
    <w:sectPr w:rsidR="00AA4066" w:rsidSect="00AC328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72D" w:rsidRDefault="00C5372D" w:rsidP="00AC328C">
      <w:pPr>
        <w:spacing w:after="0" w:line="240" w:lineRule="auto"/>
      </w:pPr>
      <w:r>
        <w:separator/>
      </w:r>
    </w:p>
  </w:endnote>
  <w:endnote w:type="continuationSeparator" w:id="0">
    <w:p w:rsidR="00C5372D" w:rsidRDefault="00C5372D"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337212"/>
      <w:docPartObj>
        <w:docPartGallery w:val="Page Numbers (Bottom of Page)"/>
        <w:docPartUnique/>
      </w:docPartObj>
    </w:sdtPr>
    <w:sdtEndPr>
      <w:rPr>
        <w:noProof/>
      </w:rPr>
    </w:sdtEndPr>
    <w:sdtContent>
      <w:p w:rsidR="00AC328C" w:rsidRDefault="00AC328C">
        <w:pPr>
          <w:pStyle w:val="Footer"/>
          <w:jc w:val="right"/>
        </w:pPr>
        <w:r>
          <w:fldChar w:fldCharType="begin"/>
        </w:r>
        <w:r>
          <w:instrText xml:space="preserve"> PAGE   \* MERGEFORMAT </w:instrText>
        </w:r>
        <w:r>
          <w:fldChar w:fldCharType="separate"/>
        </w:r>
        <w:r w:rsidR="008E3214">
          <w:rPr>
            <w:noProof/>
          </w:rPr>
          <w:t>1</w:t>
        </w:r>
        <w:r>
          <w:rPr>
            <w:noProof/>
          </w:rPr>
          <w:fldChar w:fldCharType="end"/>
        </w:r>
      </w:p>
    </w:sdtContent>
  </w:sdt>
  <w:p w:rsidR="00AC328C" w:rsidRDefault="00AC3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72D" w:rsidRDefault="00C5372D" w:rsidP="00AC328C">
      <w:pPr>
        <w:spacing w:after="0" w:line="240" w:lineRule="auto"/>
      </w:pPr>
      <w:r>
        <w:separator/>
      </w:r>
    </w:p>
  </w:footnote>
  <w:footnote w:type="continuationSeparator" w:id="0">
    <w:p w:rsidR="00C5372D" w:rsidRDefault="00C5372D" w:rsidP="00AC3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102B9F"/>
    <w:rsid w:val="00106294"/>
    <w:rsid w:val="0011795B"/>
    <w:rsid w:val="00156483"/>
    <w:rsid w:val="00286607"/>
    <w:rsid w:val="002867BD"/>
    <w:rsid w:val="002C11E1"/>
    <w:rsid w:val="002F681E"/>
    <w:rsid w:val="00401A25"/>
    <w:rsid w:val="00557F25"/>
    <w:rsid w:val="00567AA9"/>
    <w:rsid w:val="005747DD"/>
    <w:rsid w:val="005A393E"/>
    <w:rsid w:val="005C1770"/>
    <w:rsid w:val="005F36C9"/>
    <w:rsid w:val="0064214F"/>
    <w:rsid w:val="006A4B28"/>
    <w:rsid w:val="006B2E40"/>
    <w:rsid w:val="006C3245"/>
    <w:rsid w:val="006C4472"/>
    <w:rsid w:val="00780887"/>
    <w:rsid w:val="00883E38"/>
    <w:rsid w:val="008D64DD"/>
    <w:rsid w:val="008E3214"/>
    <w:rsid w:val="0098532B"/>
    <w:rsid w:val="00A81E5B"/>
    <w:rsid w:val="00AA4066"/>
    <w:rsid w:val="00AC328C"/>
    <w:rsid w:val="00B11B55"/>
    <w:rsid w:val="00B73859"/>
    <w:rsid w:val="00B75AE0"/>
    <w:rsid w:val="00BD14E8"/>
    <w:rsid w:val="00BE6CB6"/>
    <w:rsid w:val="00C155E0"/>
    <w:rsid w:val="00C20141"/>
    <w:rsid w:val="00C40E56"/>
    <w:rsid w:val="00C5372D"/>
    <w:rsid w:val="00CE0397"/>
    <w:rsid w:val="00D2176A"/>
    <w:rsid w:val="00F84D25"/>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E01B"/>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mcdonndz-local</cp:lastModifiedBy>
  <cp:revision>35</cp:revision>
  <dcterms:created xsi:type="dcterms:W3CDTF">2018-04-26T12:48:00Z</dcterms:created>
  <dcterms:modified xsi:type="dcterms:W3CDTF">2018-06-04T12:10:00Z</dcterms:modified>
</cp:coreProperties>
</file>