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6C9" w:rsidRPr="006C3245" w:rsidRDefault="00C40E56" w:rsidP="006C3245">
      <w:pPr>
        <w:spacing w:line="360" w:lineRule="auto"/>
        <w:jc w:val="center"/>
        <w:rPr>
          <w:rFonts w:ascii="Times New Roman" w:hAnsi="Times New Roman" w:cs="Times New Roman"/>
          <w:b/>
        </w:rPr>
      </w:pPr>
      <w:r w:rsidRPr="006C3245">
        <w:rPr>
          <w:rFonts w:ascii="Times New Roman" w:hAnsi="Times New Roman" w:cs="Times New Roman"/>
          <w:b/>
        </w:rPr>
        <w:t xml:space="preserve">Mission Accomplished? A Cross-national Examination of </w:t>
      </w:r>
      <w:r w:rsidR="005C1770" w:rsidRPr="006C3245">
        <w:rPr>
          <w:rFonts w:ascii="Times New Roman" w:hAnsi="Times New Roman" w:cs="Times New Roman"/>
          <w:b/>
        </w:rPr>
        <w:t xml:space="preserve">Charity </w:t>
      </w:r>
      <w:r w:rsidR="00286607" w:rsidRPr="006C3245">
        <w:rPr>
          <w:rFonts w:ascii="Times New Roman" w:hAnsi="Times New Roman" w:cs="Times New Roman"/>
          <w:b/>
        </w:rPr>
        <w:t>Dissolution</w:t>
      </w:r>
    </w:p>
    <w:p w:rsidR="00B118DC" w:rsidRPr="00B118DC" w:rsidRDefault="00B118DC" w:rsidP="00B118DC">
      <w:pPr>
        <w:spacing w:line="360" w:lineRule="auto"/>
        <w:jc w:val="center"/>
        <w:rPr>
          <w:rFonts w:ascii="Times New Roman" w:hAnsi="Times New Roman" w:cs="Times New Roman"/>
          <w:i/>
        </w:rPr>
      </w:pPr>
      <w:r w:rsidRPr="00B118DC">
        <w:rPr>
          <w:rFonts w:ascii="Times New Roman" w:hAnsi="Times New Roman" w:cs="Times New Roman"/>
          <w:i/>
        </w:rPr>
        <w:t>Working Paper 2018-02</w:t>
      </w:r>
    </w:p>
    <w:p w:rsidR="006A4B28" w:rsidRDefault="006A4B28" w:rsidP="006C3245">
      <w:pPr>
        <w:spacing w:line="360" w:lineRule="auto"/>
        <w:jc w:val="center"/>
        <w:rPr>
          <w:rFonts w:ascii="Times New Roman" w:hAnsi="Times New Roman" w:cs="Times New Roman"/>
          <w:vertAlign w:val="superscript"/>
        </w:rPr>
      </w:pPr>
      <w:r w:rsidRPr="006C3245">
        <w:rPr>
          <w:rFonts w:ascii="Times New Roman" w:hAnsi="Times New Roman" w:cs="Times New Roman"/>
        </w:rPr>
        <w:t>Diarmuid McDonnell</w:t>
      </w:r>
      <w:r w:rsidR="00B118DC" w:rsidRPr="00B118DC">
        <w:rPr>
          <w:rFonts w:ascii="Times New Roman" w:hAnsi="Times New Roman" w:cs="Times New Roman"/>
          <w:vertAlign w:val="superscript"/>
        </w:rPr>
        <w:t>1</w:t>
      </w:r>
      <w:r w:rsidRPr="006C3245">
        <w:rPr>
          <w:rFonts w:ascii="Times New Roman" w:hAnsi="Times New Roman" w:cs="Times New Roman"/>
        </w:rPr>
        <w:t>, Alasdair Rutherford</w:t>
      </w:r>
      <w:r w:rsidR="00B118DC" w:rsidRPr="00B118DC">
        <w:rPr>
          <w:rFonts w:ascii="Times New Roman" w:hAnsi="Times New Roman" w:cs="Times New Roman"/>
          <w:vertAlign w:val="superscript"/>
        </w:rPr>
        <w:t>2</w:t>
      </w:r>
      <w:r w:rsidRPr="006C3245">
        <w:rPr>
          <w:rFonts w:ascii="Times New Roman" w:hAnsi="Times New Roman" w:cs="Times New Roman"/>
        </w:rPr>
        <w:t xml:space="preserve"> and Carolyn Cordery</w:t>
      </w:r>
      <w:r w:rsidR="00B118DC" w:rsidRPr="00B118DC">
        <w:rPr>
          <w:rFonts w:ascii="Times New Roman" w:hAnsi="Times New Roman" w:cs="Times New Roman"/>
          <w:vertAlign w:val="superscript"/>
        </w:rPr>
        <w:t>3</w:t>
      </w:r>
    </w:p>
    <w:p w:rsidR="00083215" w:rsidRDefault="00083215" w:rsidP="006C3245">
      <w:pPr>
        <w:spacing w:line="360" w:lineRule="auto"/>
        <w:jc w:val="center"/>
        <w:rPr>
          <w:rFonts w:ascii="Times New Roman" w:hAnsi="Times New Roman" w:cs="Times New Roman"/>
          <w:vertAlign w:val="superscript"/>
        </w:rPr>
      </w:pPr>
    </w:p>
    <w:p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1</w:t>
      </w:r>
      <w:r w:rsidRPr="00B118DC">
        <w:rPr>
          <w:rFonts w:ascii="Times New Roman" w:hAnsi="Times New Roman" w:cs="Times New Roman"/>
        </w:rPr>
        <w:t>. Research Fellow. Third Sector Research Center, School of Social Policy, University of Birmingham</w:t>
      </w:r>
      <w:r>
        <w:rPr>
          <w:rFonts w:ascii="Times New Roman" w:hAnsi="Times New Roman" w:cs="Times New Roman"/>
        </w:rPr>
        <w:t>, UK</w:t>
      </w:r>
      <w:r w:rsidRPr="00B118DC">
        <w:rPr>
          <w:rFonts w:ascii="Times New Roman" w:hAnsi="Times New Roman" w:cs="Times New Roman"/>
        </w:rPr>
        <w:t xml:space="preserve"> (</w:t>
      </w:r>
      <w:r>
        <w:rPr>
          <w:rFonts w:ascii="Times New Roman" w:hAnsi="Times New Roman" w:cs="Times New Roman"/>
        </w:rPr>
        <w:t>d.mcdonnell.1@bham.ac.uk</w:t>
      </w:r>
      <w:r w:rsidRPr="00B118DC">
        <w:rPr>
          <w:rFonts w:ascii="Times New Roman" w:hAnsi="Times New Roman" w:cs="Times New Roman"/>
        </w:rPr>
        <w:t>).</w:t>
      </w:r>
    </w:p>
    <w:p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2. Professor of Social Statistics. Faculty of Social Sciences, Colin Bell Building, University of Stirl</w:t>
      </w:r>
      <w:r>
        <w:rPr>
          <w:rFonts w:ascii="Times New Roman" w:hAnsi="Times New Roman" w:cs="Times New Roman"/>
        </w:rPr>
        <w:t>ing</w:t>
      </w:r>
      <w:r w:rsidRPr="00B118DC">
        <w:rPr>
          <w:rFonts w:ascii="Times New Roman" w:hAnsi="Times New Roman" w:cs="Times New Roman"/>
        </w:rPr>
        <w:t>, UK.</w:t>
      </w:r>
    </w:p>
    <w:p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 xml:space="preserve">3. </w:t>
      </w:r>
      <w:r>
        <w:rPr>
          <w:rFonts w:ascii="Times New Roman" w:hAnsi="Times New Roman" w:cs="Times New Roman"/>
        </w:rPr>
        <w:t>Professor of Accounting. Department of Accounting, Aston Business School, UK.</w:t>
      </w:r>
    </w:p>
    <w:p w:rsidR="006A4B28" w:rsidRPr="006C3245" w:rsidRDefault="006A4B28" w:rsidP="006D0843">
      <w:pPr>
        <w:spacing w:line="360" w:lineRule="auto"/>
        <w:jc w:val="center"/>
        <w:rPr>
          <w:rFonts w:ascii="Times New Roman" w:hAnsi="Times New Roman" w:cs="Times New Roman"/>
          <w:b/>
        </w:rPr>
      </w:pPr>
      <w:r w:rsidRPr="006C3245">
        <w:rPr>
          <w:rFonts w:ascii="Times New Roman" w:hAnsi="Times New Roman" w:cs="Times New Roman"/>
          <w:b/>
        </w:rPr>
        <w:t>Abstract</w:t>
      </w:r>
    </w:p>
    <w:p w:rsidR="00B118DC" w:rsidRDefault="00583AE7" w:rsidP="006D0843">
      <w:pPr>
        <w:spacing w:line="360" w:lineRule="auto"/>
        <w:rPr>
          <w:rFonts w:ascii="Times New Roman" w:hAnsi="Times New Roman" w:cs="Times New Roman"/>
        </w:rPr>
      </w:pPr>
      <w:r w:rsidRPr="00583AE7">
        <w:rPr>
          <w:rFonts w:ascii="Times New Roman" w:hAnsi="Times New Roman" w:cs="Times New Roman"/>
        </w:rPr>
        <w:t xml:space="preserve">Encouraged by ‘open data’ movements, regulators have made it increasingly straightforward for stakeholders to access large-scale data about charities and their regulation. </w:t>
      </w:r>
      <w:r>
        <w:rPr>
          <w:rFonts w:ascii="Times New Roman" w:hAnsi="Times New Roman" w:cs="Times New Roman"/>
        </w:rPr>
        <w:t>This research</w:t>
      </w:r>
      <w:r w:rsidRPr="00583AE7">
        <w:rPr>
          <w:rFonts w:ascii="Times New Roman" w:hAnsi="Times New Roman" w:cs="Times New Roman"/>
        </w:rPr>
        <w:t xml:space="preserve"> leverage</w:t>
      </w:r>
      <w:r>
        <w:rPr>
          <w:rFonts w:ascii="Times New Roman" w:hAnsi="Times New Roman" w:cs="Times New Roman"/>
        </w:rPr>
        <w:t>s</w:t>
      </w:r>
      <w:r w:rsidRPr="00583AE7">
        <w:rPr>
          <w:rFonts w:ascii="Times New Roman" w:hAnsi="Times New Roman" w:cs="Times New Roman"/>
        </w:rPr>
        <w:t xml:space="preserve"> some of these data resources to examine a topic of considerable public and regulatory importance: charity dissolution</w:t>
      </w:r>
      <w:r w:rsidR="00D74F58">
        <w:rPr>
          <w:rFonts w:ascii="Times New Roman" w:hAnsi="Times New Roman" w:cs="Times New Roman"/>
        </w:rPr>
        <w:t xml:space="preserve"> due to mission accomplishment. </w:t>
      </w:r>
      <w:r w:rsidRPr="00583AE7">
        <w:rPr>
          <w:rFonts w:ascii="Times New Roman" w:hAnsi="Times New Roman" w:cs="Times New Roman"/>
        </w:rPr>
        <w:t xml:space="preserve">The charity sector's claim to exist for the public good is no longer assumed and must be evidenced, however little is known about the extent to which charities accomplish their missions. </w:t>
      </w:r>
      <w:r w:rsidR="008E3214" w:rsidRPr="00583AE7">
        <w:rPr>
          <w:rFonts w:ascii="Times New Roman" w:hAnsi="Times New Roman" w:cs="Times New Roman"/>
        </w:rPr>
        <w:t xml:space="preserve">In this paper </w:t>
      </w:r>
      <w:r w:rsidR="00D74F58">
        <w:rPr>
          <w:rFonts w:ascii="Times New Roman" w:hAnsi="Times New Roman" w:cs="Times New Roman"/>
        </w:rPr>
        <w:t>we describe</w:t>
      </w:r>
      <w:r w:rsidR="00D74F58" w:rsidRPr="00D74F58">
        <w:rPr>
          <w:rFonts w:ascii="Times New Roman" w:hAnsi="Times New Roman" w:cs="Times New Roman"/>
        </w:rPr>
        <w:t xml:space="preserve"> continuing work to collect, clean, harmonise and analyse i</w:t>
      </w:r>
      <w:r w:rsidR="00D74F58">
        <w:rPr>
          <w:rFonts w:ascii="Times New Roman" w:hAnsi="Times New Roman" w:cs="Times New Roman"/>
        </w:rPr>
        <w:t>nternational data on charity dissolution</w:t>
      </w:r>
      <w:r w:rsidR="00D74F58" w:rsidRPr="00D74F58">
        <w:rPr>
          <w:rFonts w:ascii="Times New Roman" w:hAnsi="Times New Roman" w:cs="Times New Roman"/>
        </w:rPr>
        <w:t xml:space="preserve">. We </w:t>
      </w:r>
      <w:r w:rsidR="00083215">
        <w:rPr>
          <w:rFonts w:ascii="Times New Roman" w:hAnsi="Times New Roman" w:cs="Times New Roman"/>
        </w:rPr>
        <w:t>reflect on the advantages and disadvantages of employing large-scale regulatory data to study this outcome</w:t>
      </w:r>
      <w:r w:rsidR="00D74F58" w:rsidRPr="00D74F58">
        <w:rPr>
          <w:rFonts w:ascii="Times New Roman" w:hAnsi="Times New Roman" w:cs="Times New Roman"/>
        </w:rPr>
        <w:t xml:space="preserve"> and </w:t>
      </w:r>
      <w:r w:rsidR="00083215">
        <w:rPr>
          <w:rFonts w:ascii="Times New Roman" w:hAnsi="Times New Roman" w:cs="Times New Roman"/>
        </w:rPr>
        <w:t>outline plans to develop this research further</w:t>
      </w:r>
      <w:r w:rsidR="00D74F58" w:rsidRPr="00D74F58">
        <w:rPr>
          <w:rFonts w:ascii="Times New Roman" w:hAnsi="Times New Roman" w:cs="Times New Roman"/>
        </w:rPr>
        <w:t>.</w:t>
      </w:r>
      <w:r>
        <w:rPr>
          <w:rFonts w:ascii="Times New Roman" w:hAnsi="Times New Roman" w:cs="Times New Roman"/>
        </w:rPr>
        <w:t xml:space="preserve"> </w:t>
      </w:r>
      <w:r w:rsidR="00E907C2">
        <w:rPr>
          <w:rFonts w:ascii="Times New Roman" w:hAnsi="Times New Roman" w:cs="Times New Roman"/>
        </w:rPr>
        <w:t>In doing so we</w:t>
      </w:r>
      <w:r w:rsidR="008E3214" w:rsidRPr="00583AE7">
        <w:rPr>
          <w:rFonts w:ascii="Times New Roman" w:hAnsi="Times New Roman" w:cs="Times New Roman"/>
        </w:rPr>
        <w:t xml:space="preserve"> identify real opportunities for interdisciplinary collaboration, combining accounting, social policy, law and data science in order to address important questions in novel ways.</w:t>
      </w:r>
    </w:p>
    <w:p w:rsidR="00AC328C" w:rsidRPr="00583AE7" w:rsidRDefault="00B118DC" w:rsidP="006D0843">
      <w:pPr>
        <w:spacing w:line="360" w:lineRule="auto"/>
        <w:rPr>
          <w:rFonts w:ascii="Times New Roman" w:hAnsi="Times New Roman" w:cs="Times New Roman"/>
        </w:rPr>
      </w:pPr>
      <w:r>
        <w:rPr>
          <w:rFonts w:ascii="Times New Roman" w:hAnsi="Times New Roman" w:cs="Times New Roman"/>
        </w:rPr>
        <w:t>Keywords: charity success, big data, open data, nonprofit regulation</w:t>
      </w:r>
      <w:r w:rsidR="00102B9F" w:rsidRPr="006C3245">
        <w:rPr>
          <w:rFonts w:ascii="Times New Roman" w:hAnsi="Times New Roman" w:cs="Times New Roman"/>
        </w:rPr>
        <w:br w:type="page"/>
      </w:r>
      <w:r w:rsidR="006D0843" w:rsidRPr="006D0843">
        <w:rPr>
          <w:rFonts w:ascii="Times New Roman" w:hAnsi="Times New Roman" w:cs="Times New Roman"/>
          <w:b/>
        </w:rPr>
        <w:lastRenderedPageBreak/>
        <w:t>1.</w:t>
      </w:r>
      <w:r w:rsidR="006D0843">
        <w:rPr>
          <w:rFonts w:ascii="Times New Roman" w:hAnsi="Times New Roman" w:cs="Times New Roman"/>
        </w:rPr>
        <w:t xml:space="preserve"> </w:t>
      </w:r>
      <w:r w:rsidR="00AC328C" w:rsidRPr="006C3245">
        <w:rPr>
          <w:rFonts w:ascii="Times New Roman" w:hAnsi="Times New Roman" w:cs="Times New Roman"/>
          <w:b/>
        </w:rPr>
        <w:t>Introduction</w:t>
      </w:r>
    </w:p>
    <w:p w:rsidR="001841EA" w:rsidRDefault="00AC328C" w:rsidP="001841EA">
      <w:pPr>
        <w:spacing w:line="360" w:lineRule="auto"/>
        <w:rPr>
          <w:rFonts w:ascii="Times New Roman" w:hAnsi="Times New Roman" w:cs="Times New Roman"/>
        </w:rPr>
      </w:pPr>
      <w:r w:rsidRPr="006C3245">
        <w:rPr>
          <w:rFonts w:ascii="Times New Roman" w:hAnsi="Times New Roman" w:cs="Times New Roman"/>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Pr>
          <w:rFonts w:ascii="Times New Roman" w:hAnsi="Times New Roman" w:cs="Times New Roman"/>
        </w:rPr>
        <w:t>2019</w:t>
      </w:r>
      <w:r w:rsidRPr="006C3245">
        <w:rPr>
          <w:rFonts w:ascii="Times New Roman" w:hAnsi="Times New Roman" w:cs="Times New Roman"/>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Pr>
          <w:rFonts w:ascii="Times New Roman" w:hAnsi="Times New Roman" w:cs="Times New Roman"/>
        </w:rPr>
        <w:t xml:space="preserve"> use it (Cordery &amp; Deguchi, forthcoming). This paper describes ongoing work to </w:t>
      </w:r>
      <w:r w:rsidRPr="006C3245">
        <w:rPr>
          <w:rFonts w:ascii="Times New Roman" w:hAnsi="Times New Roman" w:cs="Times New Roman"/>
        </w:rPr>
        <w:t xml:space="preserve">leverage some of these data resources to examine a topic of considerable public and regulatory importance: </w:t>
      </w:r>
      <w:r w:rsidR="001841EA" w:rsidRPr="00583AE7">
        <w:rPr>
          <w:rFonts w:ascii="Times New Roman" w:hAnsi="Times New Roman" w:cs="Times New Roman"/>
        </w:rPr>
        <w:t>charity dissolution</w:t>
      </w:r>
      <w:r w:rsidR="001841EA">
        <w:rPr>
          <w:rFonts w:ascii="Times New Roman" w:hAnsi="Times New Roman" w:cs="Times New Roman"/>
        </w:rPr>
        <w:t xml:space="preserve"> due to mission accomplishment</w:t>
      </w:r>
      <w:r w:rsidRPr="006C3245">
        <w:rPr>
          <w:rFonts w:ascii="Times New Roman" w:hAnsi="Times New Roman" w:cs="Times New Roman"/>
        </w:rPr>
        <w:t xml:space="preserve">. </w:t>
      </w:r>
      <w:r w:rsidR="001841EA">
        <w:rPr>
          <w:rFonts w:ascii="Times New Roman" w:hAnsi="Times New Roman" w:cs="Times New Roman"/>
        </w:rPr>
        <w:t xml:space="preserve">There are many </w:t>
      </w:r>
      <w:r w:rsidR="001841EA" w:rsidRPr="001841EA">
        <w:rPr>
          <w:rFonts w:ascii="Times New Roman" w:hAnsi="Times New Roman" w:cs="Times New Roman"/>
        </w:rPr>
        <w:t>reasons charities shut down (e.g. insufficient f</w:t>
      </w:r>
      <w:r w:rsidR="001841EA">
        <w:rPr>
          <w:rFonts w:ascii="Times New Roman" w:hAnsi="Times New Roman" w:cs="Times New Roman"/>
        </w:rPr>
        <w:t xml:space="preserve">unds, non-compliance with legal </w:t>
      </w:r>
      <w:r w:rsidR="001841EA" w:rsidRPr="001841EA">
        <w:rPr>
          <w:rFonts w:ascii="Times New Roman" w:hAnsi="Times New Roman" w:cs="Times New Roman"/>
        </w:rPr>
        <w:t>requirements), but this project will focus on or</w:t>
      </w:r>
      <w:r w:rsidR="001841EA">
        <w:rPr>
          <w:rFonts w:ascii="Times New Roman" w:hAnsi="Times New Roman" w:cs="Times New Roman"/>
        </w:rPr>
        <w:t xml:space="preserve">ganisations that dissolve after </w:t>
      </w:r>
      <w:r w:rsidR="001841EA" w:rsidRPr="001841EA">
        <w:rPr>
          <w:rFonts w:ascii="Times New Roman" w:hAnsi="Times New Roman" w:cs="Times New Roman"/>
        </w:rPr>
        <w:t xml:space="preserve">accomplishing their mission. The charity sector's claim </w:t>
      </w:r>
      <w:r w:rsidR="001841EA">
        <w:rPr>
          <w:rFonts w:ascii="Times New Roman" w:hAnsi="Times New Roman" w:cs="Times New Roman"/>
        </w:rPr>
        <w:t xml:space="preserve">to exist for the public good is </w:t>
      </w:r>
      <w:r w:rsidR="001841EA" w:rsidRPr="001841EA">
        <w:rPr>
          <w:rFonts w:ascii="Times New Roman" w:hAnsi="Times New Roman" w:cs="Times New Roman"/>
        </w:rPr>
        <w:t xml:space="preserve">no longer assumed and must be evidenced (Brody, </w:t>
      </w:r>
      <w:r w:rsidR="001841EA">
        <w:rPr>
          <w:rFonts w:ascii="Times New Roman" w:hAnsi="Times New Roman" w:cs="Times New Roman"/>
        </w:rPr>
        <w:t xml:space="preserve">2002). However, little is known </w:t>
      </w:r>
      <w:r w:rsidR="001841EA" w:rsidRPr="001841EA">
        <w:rPr>
          <w:rFonts w:ascii="Times New Roman" w:hAnsi="Times New Roman" w:cs="Times New Roman"/>
        </w:rPr>
        <w:t>about the extent to which charities accomplish their</w:t>
      </w:r>
      <w:r w:rsidR="001841EA">
        <w:rPr>
          <w:rFonts w:ascii="Times New Roman" w:hAnsi="Times New Roman" w:cs="Times New Roman"/>
        </w:rPr>
        <w:t xml:space="preserve"> missions. Given the increasing </w:t>
      </w:r>
      <w:r w:rsidR="001841EA" w:rsidRPr="001841EA">
        <w:rPr>
          <w:rFonts w:ascii="Times New Roman" w:hAnsi="Times New Roman" w:cs="Times New Roman"/>
        </w:rPr>
        <w:t>scrutiny on charitable organisations in many jurisdictio</w:t>
      </w:r>
      <w:r w:rsidR="001841EA">
        <w:rPr>
          <w:rFonts w:ascii="Times New Roman" w:hAnsi="Times New Roman" w:cs="Times New Roman"/>
        </w:rPr>
        <w:t xml:space="preserve">ns and the importance of public </w:t>
      </w:r>
      <w:r w:rsidR="001841EA" w:rsidRPr="001841EA">
        <w:rPr>
          <w:rFonts w:ascii="Times New Roman" w:hAnsi="Times New Roman" w:cs="Times New Roman"/>
        </w:rPr>
        <w:t>confidence to their sustainability (Breen, 2009;</w:t>
      </w:r>
      <w:r w:rsidR="001841EA">
        <w:rPr>
          <w:rFonts w:ascii="Times New Roman" w:hAnsi="Times New Roman" w:cs="Times New Roman"/>
        </w:rPr>
        <w:t xml:space="preserve"> Keating &amp; Frumkin, 2003), </w:t>
      </w:r>
      <w:r w:rsidR="001841EA" w:rsidRPr="001841EA">
        <w:rPr>
          <w:rFonts w:ascii="Times New Roman" w:hAnsi="Times New Roman" w:cs="Times New Roman"/>
        </w:rPr>
        <w:t xml:space="preserve">research </w:t>
      </w:r>
      <w:r w:rsidR="00E907C2">
        <w:rPr>
          <w:rFonts w:ascii="Times New Roman" w:hAnsi="Times New Roman" w:cs="Times New Roman"/>
        </w:rPr>
        <w:t>on this topic has the potential to make</w:t>
      </w:r>
      <w:r w:rsidR="001841EA" w:rsidRPr="001841EA">
        <w:rPr>
          <w:rFonts w:ascii="Times New Roman" w:hAnsi="Times New Roman" w:cs="Times New Roman"/>
        </w:rPr>
        <w:t xml:space="preserve"> a significant contribution to the evide</w:t>
      </w:r>
      <w:r w:rsidR="001841EA">
        <w:rPr>
          <w:rFonts w:ascii="Times New Roman" w:hAnsi="Times New Roman" w:cs="Times New Roman"/>
        </w:rPr>
        <w:t xml:space="preserve">nce base on charity success and </w:t>
      </w:r>
      <w:r w:rsidR="001841EA" w:rsidRPr="001841EA">
        <w:rPr>
          <w:rFonts w:ascii="Times New Roman" w:hAnsi="Times New Roman" w:cs="Times New Roman"/>
        </w:rPr>
        <w:t>failure</w:t>
      </w:r>
      <w:r w:rsidR="00E907C2">
        <w:rPr>
          <w:rFonts w:ascii="Times New Roman" w:hAnsi="Times New Roman" w:cs="Times New Roman"/>
        </w:rPr>
        <w:t xml:space="preserve">, benefiting a variety of stakeholders including those with responsibility for </w:t>
      </w:r>
      <w:r w:rsidR="001841EA">
        <w:rPr>
          <w:rFonts w:ascii="Times New Roman" w:hAnsi="Times New Roman" w:cs="Times New Roman"/>
        </w:rPr>
        <w:t xml:space="preserve">monitoring the </w:t>
      </w:r>
      <w:r w:rsidR="001841EA" w:rsidRPr="001841EA">
        <w:rPr>
          <w:rFonts w:ascii="Times New Roman" w:hAnsi="Times New Roman" w:cs="Times New Roman"/>
        </w:rPr>
        <w:t>sector (Saxton et al., 2012).</w:t>
      </w:r>
    </w:p>
    <w:p w:rsidR="00E907C2" w:rsidRDefault="00E907C2" w:rsidP="006C3245">
      <w:pPr>
        <w:spacing w:line="360" w:lineRule="auto"/>
        <w:rPr>
          <w:rFonts w:ascii="Times New Roman" w:hAnsi="Times New Roman" w:cs="Times New Roman"/>
        </w:rPr>
      </w:pPr>
      <w:r>
        <w:rPr>
          <w:rFonts w:ascii="Times New Roman" w:hAnsi="Times New Roman" w:cs="Times New Roman"/>
        </w:rPr>
        <w:t xml:space="preserve">The paper proceeds as follows. The next section reviews scholarship on charity success and failure, revealing the empirical gap in our </w:t>
      </w:r>
      <w:r w:rsidR="006D0843">
        <w:rPr>
          <w:rFonts w:ascii="Times New Roman" w:hAnsi="Times New Roman" w:cs="Times New Roman"/>
        </w:rPr>
        <w:t>understanding</w:t>
      </w:r>
      <w:r>
        <w:rPr>
          <w:rFonts w:ascii="Times New Roman" w:hAnsi="Times New Roman" w:cs="Times New Roman"/>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Pr>
          <w:rFonts w:ascii="Times New Roman" w:hAnsi="Times New Roman" w:cs="Times New Roman"/>
        </w:rPr>
        <w:t>developing this research</w:t>
      </w:r>
      <w:r>
        <w:rPr>
          <w:rFonts w:ascii="Times New Roman" w:hAnsi="Times New Roman" w:cs="Times New Roman"/>
        </w:rPr>
        <w:t xml:space="preserve">. </w:t>
      </w:r>
    </w:p>
    <w:p w:rsidR="00AC328C"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2. </w:t>
      </w:r>
      <w:r w:rsidR="00E907C2">
        <w:rPr>
          <w:rFonts w:ascii="Times New Roman" w:hAnsi="Times New Roman" w:cs="Times New Roman"/>
          <w:b/>
        </w:rPr>
        <w:t>Literature</w:t>
      </w:r>
    </w:p>
    <w:p w:rsidR="00A93D20" w:rsidRDefault="00A93D20" w:rsidP="00A93D20">
      <w:pPr>
        <w:spacing w:line="360" w:lineRule="auto"/>
        <w:rPr>
          <w:rFonts w:ascii="Times New Roman" w:hAnsi="Times New Roman" w:cs="Times New Roman"/>
        </w:rPr>
      </w:pPr>
      <w:r w:rsidRPr="00A93D20">
        <w:rPr>
          <w:rFonts w:ascii="Times New Roman" w:hAnsi="Times New Roman" w:cs="Times New Roman"/>
        </w:rPr>
        <w:t>Defining charity success and/or failure has proved p</w:t>
      </w:r>
      <w:r>
        <w:rPr>
          <w:rFonts w:ascii="Times New Roman" w:hAnsi="Times New Roman" w:cs="Times New Roman"/>
        </w:rPr>
        <w:t xml:space="preserve">roblematic (Lecy et al., 2011). </w:t>
      </w:r>
      <w:r w:rsidRPr="00A93D20">
        <w:rPr>
          <w:rFonts w:ascii="Times New Roman" w:hAnsi="Times New Roman" w:cs="Times New Roman"/>
        </w:rPr>
        <w:t>There are various conceptualisations of failure inclu</w:t>
      </w:r>
      <w:r>
        <w:rPr>
          <w:rFonts w:ascii="Times New Roman" w:hAnsi="Times New Roman" w:cs="Times New Roman"/>
        </w:rPr>
        <w:t xml:space="preserve">ding resource reduction, market </w:t>
      </w:r>
      <w:r w:rsidRPr="00A93D20">
        <w:rPr>
          <w:rFonts w:ascii="Times New Roman" w:hAnsi="Times New Roman" w:cs="Times New Roman"/>
        </w:rPr>
        <w:t>exit, and mortality (Helmig et al., 2014; (Mellahi &amp;</w:t>
      </w:r>
      <w:r>
        <w:rPr>
          <w:rFonts w:ascii="Times New Roman" w:hAnsi="Times New Roman" w:cs="Times New Roman"/>
        </w:rPr>
        <w:t xml:space="preserve"> Wilkinson, 2004). </w:t>
      </w:r>
      <w:r w:rsidR="008876C7" w:rsidRPr="008876C7">
        <w:rPr>
          <w:rFonts w:ascii="Times New Roman" w:hAnsi="Times New Roman" w:cs="Times New Roman"/>
        </w:rPr>
        <w:t>However, many of these constructs contain inconsistencies and cont</w:t>
      </w:r>
      <w:r w:rsidR="008876C7">
        <w:rPr>
          <w:rFonts w:ascii="Times New Roman" w:hAnsi="Times New Roman" w:cs="Times New Roman"/>
        </w:rPr>
        <w:t>radictions. For example, organis</w:t>
      </w:r>
      <w:r w:rsidR="008876C7" w:rsidRPr="008876C7">
        <w:rPr>
          <w:rFonts w:ascii="Times New Roman" w:hAnsi="Times New Roman" w:cs="Times New Roman"/>
        </w:rPr>
        <w:t>ational dissolution may indi</w:t>
      </w:r>
      <w:r w:rsidR="008876C7">
        <w:rPr>
          <w:rFonts w:ascii="Times New Roman" w:hAnsi="Times New Roman" w:cs="Times New Roman"/>
        </w:rPr>
        <w:t xml:space="preserve">cate success rather than failure in cases where the charity accomplished its mission </w:t>
      </w:r>
      <w:r w:rsidR="008876C7" w:rsidRPr="008876C7">
        <w:rPr>
          <w:rFonts w:ascii="Times New Roman" w:hAnsi="Times New Roman" w:cs="Times New Roman"/>
        </w:rPr>
        <w:t>(Helmig et al., 2014; see also Hager, Galaskiewicz, Bielefeld &amp; Pins, 1996)</w:t>
      </w:r>
      <w:r w:rsidR="008876C7">
        <w:rPr>
          <w:rFonts w:ascii="Times New Roman" w:hAnsi="Times New Roman" w:cs="Times New Roman"/>
        </w:rPr>
        <w:t>.</w:t>
      </w:r>
      <w:r w:rsidR="008876C7" w:rsidRPr="008876C7">
        <w:rPr>
          <w:rFonts w:ascii="Times New Roman" w:hAnsi="Times New Roman" w:cs="Times New Roman"/>
        </w:rPr>
        <w:t xml:space="preserve"> </w:t>
      </w:r>
      <w:r>
        <w:rPr>
          <w:rFonts w:ascii="Times New Roman" w:hAnsi="Times New Roman" w:cs="Times New Roman"/>
        </w:rPr>
        <w:t xml:space="preserve">On the other </w:t>
      </w:r>
      <w:r w:rsidRPr="00A93D20">
        <w:rPr>
          <w:rFonts w:ascii="Times New Roman" w:hAnsi="Times New Roman" w:cs="Times New Roman"/>
        </w:rPr>
        <w:t>hand, charity success i</w:t>
      </w:r>
      <w:r w:rsidR="001F4F03">
        <w:rPr>
          <w:rFonts w:ascii="Times New Roman" w:hAnsi="Times New Roman" w:cs="Times New Roman"/>
        </w:rPr>
        <w:t>s easier to conceptualise but</w:t>
      </w:r>
      <w:r>
        <w:rPr>
          <w:rFonts w:ascii="Times New Roman" w:hAnsi="Times New Roman" w:cs="Times New Roman"/>
        </w:rPr>
        <w:t xml:space="preserve"> poorly </w:t>
      </w:r>
      <w:r>
        <w:rPr>
          <w:rFonts w:ascii="Times New Roman" w:hAnsi="Times New Roman" w:cs="Times New Roman"/>
        </w:rPr>
        <w:lastRenderedPageBreak/>
        <w:t xml:space="preserve">understood for a number </w:t>
      </w:r>
      <w:r w:rsidRPr="00A93D20">
        <w:rPr>
          <w:rFonts w:ascii="Times New Roman" w:hAnsi="Times New Roman" w:cs="Times New Roman"/>
        </w:rPr>
        <w:t>of reasons (Helmig et al., 2014). Extant studies have</w:t>
      </w:r>
      <w:r>
        <w:rPr>
          <w:rFonts w:ascii="Times New Roman" w:hAnsi="Times New Roman" w:cs="Times New Roman"/>
        </w:rPr>
        <w:t xml:space="preserve"> focused on a limited number of </w:t>
      </w:r>
      <w:r w:rsidRPr="00A93D20">
        <w:rPr>
          <w:rFonts w:ascii="Times New Roman" w:hAnsi="Times New Roman" w:cs="Times New Roman"/>
        </w:rPr>
        <w:t>subsectors such as Social Service organisati</w:t>
      </w:r>
      <w:r>
        <w:rPr>
          <w:rFonts w:ascii="Times New Roman" w:hAnsi="Times New Roman" w:cs="Times New Roman"/>
        </w:rPr>
        <w:t xml:space="preserve">ons (Helmig et al., 2014); used </w:t>
      </w:r>
      <w:r w:rsidRPr="00A93D20">
        <w:rPr>
          <w:rFonts w:ascii="Times New Roman" w:hAnsi="Times New Roman" w:cs="Times New Roman"/>
        </w:rPr>
        <w:t>observations from small regional study sites (e.g. Wollebaek, 2010); and covered short</w:t>
      </w:r>
      <w:r>
        <w:rPr>
          <w:rFonts w:ascii="Times New Roman" w:hAnsi="Times New Roman" w:cs="Times New Roman"/>
        </w:rPr>
        <w:t xml:space="preserve"> </w:t>
      </w:r>
      <w:r w:rsidRPr="00A93D20">
        <w:rPr>
          <w:rFonts w:ascii="Times New Roman" w:hAnsi="Times New Roman" w:cs="Times New Roman"/>
        </w:rPr>
        <w:t>time periods (e.g. Hager et al., 1996). The m</w:t>
      </w:r>
      <w:r>
        <w:rPr>
          <w:rFonts w:ascii="Times New Roman" w:hAnsi="Times New Roman" w:cs="Times New Roman"/>
        </w:rPr>
        <w:t xml:space="preserve">ost difficult issue has been to </w:t>
      </w:r>
      <w:r w:rsidRPr="00A93D20">
        <w:rPr>
          <w:rFonts w:ascii="Times New Roman" w:hAnsi="Times New Roman" w:cs="Times New Roman"/>
        </w:rPr>
        <w:t>unambiguously measure mission accomplishment - those charities that voluntarily</w:t>
      </w:r>
      <w:r>
        <w:rPr>
          <w:rFonts w:ascii="Times New Roman" w:hAnsi="Times New Roman" w:cs="Times New Roman"/>
        </w:rPr>
        <w:t xml:space="preserve"> </w:t>
      </w:r>
      <w:r w:rsidRPr="00A93D20">
        <w:rPr>
          <w:rFonts w:ascii="Times New Roman" w:hAnsi="Times New Roman" w:cs="Times New Roman"/>
        </w:rPr>
        <w:t>cease to exist due to achieving their stated mission - and differentiate it from other</w:t>
      </w:r>
      <w:r>
        <w:rPr>
          <w:rFonts w:ascii="Times New Roman" w:hAnsi="Times New Roman" w:cs="Times New Roman"/>
        </w:rPr>
        <w:t xml:space="preserve"> </w:t>
      </w:r>
      <w:r w:rsidRPr="00A93D20">
        <w:rPr>
          <w:rFonts w:ascii="Times New Roman" w:hAnsi="Times New Roman" w:cs="Times New Roman"/>
        </w:rPr>
        <w:t>forms of dissolution such as organisational wind-up, statutory revocation of charity</w:t>
      </w:r>
      <w:r>
        <w:rPr>
          <w:rFonts w:ascii="Times New Roman" w:hAnsi="Times New Roman" w:cs="Times New Roman"/>
        </w:rPr>
        <w:t xml:space="preserve"> </w:t>
      </w:r>
      <w:r w:rsidRPr="00A93D20">
        <w:rPr>
          <w:rFonts w:ascii="Times New Roman" w:hAnsi="Times New Roman" w:cs="Times New Roman"/>
        </w:rPr>
        <w:t xml:space="preserve">status due to misconduct, and other forms of ‘mortality’ e.g. amalgamation. </w:t>
      </w:r>
    </w:p>
    <w:p w:rsidR="006C3245" w:rsidRPr="006C3245" w:rsidRDefault="00A93D20" w:rsidP="00A93D20">
      <w:pPr>
        <w:spacing w:line="360" w:lineRule="auto"/>
        <w:rPr>
          <w:rFonts w:ascii="Times New Roman" w:hAnsi="Times New Roman" w:cs="Times New Roman"/>
        </w:rPr>
      </w:pPr>
      <w:r w:rsidRPr="00A93D20">
        <w:rPr>
          <w:rFonts w:ascii="Times New Roman" w:hAnsi="Times New Roman" w:cs="Times New Roman"/>
        </w:rPr>
        <w:t>By using</w:t>
      </w:r>
      <w:r>
        <w:rPr>
          <w:rFonts w:ascii="Times New Roman" w:hAnsi="Times New Roman" w:cs="Times New Roman"/>
        </w:rPr>
        <w:t xml:space="preserve"> </w:t>
      </w:r>
      <w:r w:rsidRPr="00A93D20">
        <w:rPr>
          <w:rFonts w:ascii="Times New Roman" w:hAnsi="Times New Roman" w:cs="Times New Roman"/>
        </w:rPr>
        <w:t>detailed measures of charity dissolution recorded in l</w:t>
      </w:r>
      <w:r>
        <w:rPr>
          <w:rFonts w:ascii="Times New Roman" w:hAnsi="Times New Roman" w:cs="Times New Roman"/>
        </w:rPr>
        <w:t xml:space="preserve">arge-scale regulatory datasets, </w:t>
      </w:r>
      <w:r w:rsidRPr="00A93D20">
        <w:rPr>
          <w:rFonts w:ascii="Times New Roman" w:hAnsi="Times New Roman" w:cs="Times New Roman"/>
        </w:rPr>
        <w:t xml:space="preserve">this research project responds to the call </w:t>
      </w:r>
      <w:r>
        <w:rPr>
          <w:rFonts w:ascii="Times New Roman" w:hAnsi="Times New Roman" w:cs="Times New Roman"/>
        </w:rPr>
        <w:t xml:space="preserve">for </w:t>
      </w:r>
      <w:r w:rsidRPr="00A93D20">
        <w:rPr>
          <w:rFonts w:ascii="Times New Roman" w:hAnsi="Times New Roman" w:cs="Times New Roman"/>
        </w:rPr>
        <w:t>greater foc</w:t>
      </w:r>
      <w:r>
        <w:rPr>
          <w:rFonts w:ascii="Times New Roman" w:hAnsi="Times New Roman" w:cs="Times New Roman"/>
        </w:rPr>
        <w:t xml:space="preserve">us on mission accomplishment as </w:t>
      </w:r>
      <w:r w:rsidRPr="00A93D20">
        <w:rPr>
          <w:rFonts w:ascii="Times New Roman" w:hAnsi="Times New Roman" w:cs="Times New Roman"/>
        </w:rPr>
        <w:t>an outcome in nonprofit scholarship (Helmig et al., 20</w:t>
      </w:r>
      <w:r>
        <w:rPr>
          <w:rFonts w:ascii="Times New Roman" w:hAnsi="Times New Roman" w:cs="Times New Roman"/>
        </w:rPr>
        <w:t xml:space="preserve">14). Our work has the potential </w:t>
      </w:r>
      <w:r w:rsidRPr="00A93D20">
        <w:rPr>
          <w:rFonts w:ascii="Times New Roman" w:hAnsi="Times New Roman" w:cs="Times New Roman"/>
        </w:rPr>
        <w:t>to provide much-needed granularity and clarity to t</w:t>
      </w:r>
      <w:r>
        <w:rPr>
          <w:rFonts w:ascii="Times New Roman" w:hAnsi="Times New Roman" w:cs="Times New Roman"/>
        </w:rPr>
        <w:t xml:space="preserve">he various ways charities cease </w:t>
      </w:r>
      <w:r w:rsidRPr="00A93D20">
        <w:rPr>
          <w:rFonts w:ascii="Times New Roman" w:hAnsi="Times New Roman" w:cs="Times New Roman"/>
        </w:rPr>
        <w:t xml:space="preserve">their activities, in </w:t>
      </w:r>
      <w:r>
        <w:rPr>
          <w:rFonts w:ascii="Times New Roman" w:hAnsi="Times New Roman" w:cs="Times New Roman"/>
        </w:rPr>
        <w:t>particular by</w:t>
      </w:r>
      <w:r w:rsidRPr="00A93D20">
        <w:rPr>
          <w:rFonts w:ascii="Times New Roman" w:hAnsi="Times New Roman" w:cs="Times New Roman"/>
        </w:rPr>
        <w:t xml:space="preserve"> identifying those o</w:t>
      </w:r>
      <w:r>
        <w:rPr>
          <w:rFonts w:ascii="Times New Roman" w:hAnsi="Times New Roman" w:cs="Times New Roman"/>
        </w:rPr>
        <w:t xml:space="preserve">rganisations that dissolve as a </w:t>
      </w:r>
      <w:r w:rsidRPr="00A93D20">
        <w:rPr>
          <w:rFonts w:ascii="Times New Roman" w:hAnsi="Times New Roman" w:cs="Times New Roman"/>
        </w:rPr>
        <w:t>result of accomplishing their mission. Identifying the patterns and explanatory</w:t>
      </w:r>
      <w:r>
        <w:rPr>
          <w:rFonts w:ascii="Times New Roman" w:hAnsi="Times New Roman" w:cs="Times New Roman"/>
        </w:rPr>
        <w:t xml:space="preserve"> </w:t>
      </w:r>
      <w:r w:rsidRPr="00A93D20">
        <w:rPr>
          <w:rFonts w:ascii="Times New Roman" w:hAnsi="Times New Roman" w:cs="Times New Roman"/>
        </w:rPr>
        <w:t xml:space="preserve">factors </w:t>
      </w:r>
      <w:r>
        <w:rPr>
          <w:rFonts w:ascii="Times New Roman" w:hAnsi="Times New Roman" w:cs="Times New Roman"/>
        </w:rPr>
        <w:t>associated with</w:t>
      </w:r>
      <w:r w:rsidRPr="00A93D20">
        <w:rPr>
          <w:rFonts w:ascii="Times New Roman" w:hAnsi="Times New Roman" w:cs="Times New Roman"/>
        </w:rPr>
        <w:t xml:space="preserve"> charity dissolution can underpin public unde</w:t>
      </w:r>
      <w:r>
        <w:rPr>
          <w:rFonts w:ascii="Times New Roman" w:hAnsi="Times New Roman" w:cs="Times New Roman"/>
        </w:rPr>
        <w:t xml:space="preserve">rstanding of the sector, inform </w:t>
      </w:r>
      <w:r w:rsidRPr="00A93D20">
        <w:rPr>
          <w:rFonts w:ascii="Times New Roman" w:hAnsi="Times New Roman" w:cs="Times New Roman"/>
        </w:rPr>
        <w:t>the allocation of funds by donors and governmen</w:t>
      </w:r>
      <w:r>
        <w:rPr>
          <w:rFonts w:ascii="Times New Roman" w:hAnsi="Times New Roman" w:cs="Times New Roman"/>
        </w:rPr>
        <w:t xml:space="preserve">t, and guide the activities and </w:t>
      </w:r>
      <w:r w:rsidRPr="00A93D20">
        <w:rPr>
          <w:rFonts w:ascii="Times New Roman" w:hAnsi="Times New Roman" w:cs="Times New Roman"/>
        </w:rPr>
        <w:t>interventions of regulators.</w:t>
      </w:r>
    </w:p>
    <w:p w:rsidR="006C3245"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3. </w:t>
      </w:r>
      <w:r w:rsidR="006C3245" w:rsidRPr="006C3245">
        <w:rPr>
          <w:rFonts w:ascii="Times New Roman" w:hAnsi="Times New Roman" w:cs="Times New Roman"/>
          <w:b/>
        </w:rPr>
        <w:t>Methodology</w:t>
      </w:r>
    </w:p>
    <w:p w:rsidR="006C3245" w:rsidRPr="006C3245" w:rsidRDefault="00D30C05" w:rsidP="006C3245">
      <w:pPr>
        <w:spacing w:line="360" w:lineRule="auto"/>
        <w:rPr>
          <w:rFonts w:ascii="Times New Roman" w:hAnsi="Times New Roman" w:cs="Times New Roman"/>
        </w:rPr>
      </w:pPr>
      <w:r w:rsidRPr="006C3245">
        <w:rPr>
          <w:rFonts w:ascii="Times New Roman" w:hAnsi="Times New Roman" w:cs="Times New Roman"/>
        </w:rPr>
        <w:t>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w:t>
      </w:r>
      <w:r>
        <w:rPr>
          <w:rFonts w:ascii="Times New Roman" w:hAnsi="Times New Roman" w:cs="Times New Roman"/>
        </w:rPr>
        <w:t xml:space="preserve"> </w:t>
      </w:r>
      <w:r w:rsidR="006C3245" w:rsidRPr="006C3245">
        <w:rPr>
          <w:rFonts w:ascii="Times New Roman" w:hAnsi="Times New Roman" w:cs="Times New Roman"/>
        </w:rPr>
        <w:t>The project is guided by two research questions:</w:t>
      </w:r>
    </w:p>
    <w:p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is the rate of charity dissolution, and does it vary across jurisdictions?</w:t>
      </w:r>
    </w:p>
    <w:p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factors predict mission accomplishment, and do they vary across other forms of charity dissolution?</w:t>
      </w:r>
    </w:p>
    <w:p w:rsidR="006D0843" w:rsidRDefault="000B5359" w:rsidP="000B5359">
      <w:pPr>
        <w:spacing w:line="360" w:lineRule="auto"/>
        <w:rPr>
          <w:rFonts w:ascii="Times New Roman" w:hAnsi="Times New Roman" w:cs="Times New Roman"/>
        </w:rPr>
      </w:pPr>
      <w:r w:rsidRPr="000B5359">
        <w:rPr>
          <w:rFonts w:ascii="Times New Roman" w:hAnsi="Times New Roman" w:cs="Times New Roman"/>
        </w:rPr>
        <w:t>We will answer these questions using regulatory data fr</w:t>
      </w:r>
      <w:r>
        <w:rPr>
          <w:rFonts w:ascii="Times New Roman" w:hAnsi="Times New Roman" w:cs="Times New Roman"/>
        </w:rPr>
        <w:t xml:space="preserve">om three charity jurisdictions: </w:t>
      </w:r>
      <w:r w:rsidRPr="000B5359">
        <w:rPr>
          <w:rFonts w:ascii="Times New Roman" w:hAnsi="Times New Roman" w:cs="Times New Roman"/>
        </w:rPr>
        <w:t>England &amp; Wales, Canada, and New Zealand.</w:t>
      </w:r>
      <w:r>
        <w:rPr>
          <w:rFonts w:ascii="Times New Roman" w:hAnsi="Times New Roman" w:cs="Times New Roman"/>
        </w:rPr>
        <w:t xml:space="preserve"> </w:t>
      </w:r>
      <w:r w:rsidR="006D0843" w:rsidRPr="006D0843">
        <w:rPr>
          <w:rFonts w:ascii="Times New Roman" w:hAnsi="Times New Roman" w:cs="Times New Roman"/>
        </w:rPr>
        <w:t>Thes</w:t>
      </w:r>
      <w:r w:rsidR="006D0843">
        <w:rPr>
          <w:rFonts w:ascii="Times New Roman" w:hAnsi="Times New Roman" w:cs="Times New Roman"/>
        </w:rPr>
        <w:t xml:space="preserve">e were selected for a number of </w:t>
      </w:r>
      <w:r w:rsidR="006D0843" w:rsidRPr="006D0843">
        <w:rPr>
          <w:rFonts w:ascii="Times New Roman" w:hAnsi="Times New Roman" w:cs="Times New Roman"/>
        </w:rPr>
        <w:t>reasons. First, in each jurisdiction regulatory data are</w:t>
      </w:r>
      <w:r w:rsidR="006D0843">
        <w:rPr>
          <w:rFonts w:ascii="Times New Roman" w:hAnsi="Times New Roman" w:cs="Times New Roman"/>
        </w:rPr>
        <w:t xml:space="preserve"> publicly available via an open </w:t>
      </w:r>
      <w:r w:rsidR="006D0843" w:rsidRPr="006D0843">
        <w:rPr>
          <w:rFonts w:ascii="Times New Roman" w:hAnsi="Times New Roman" w:cs="Times New Roman"/>
        </w:rPr>
        <w:t>data portal or database; second, they represent impo</w:t>
      </w:r>
      <w:r w:rsidR="006D0843">
        <w:rPr>
          <w:rFonts w:ascii="Times New Roman" w:hAnsi="Times New Roman" w:cs="Times New Roman"/>
        </w:rPr>
        <w:t xml:space="preserve">rtant and comprehensive charity </w:t>
      </w:r>
      <w:r w:rsidR="006D0843" w:rsidRPr="006D0843">
        <w:rPr>
          <w:rFonts w:ascii="Times New Roman" w:hAnsi="Times New Roman" w:cs="Times New Roman"/>
        </w:rPr>
        <w:t>sectors in North America, the United Kingdom and Aus</w:t>
      </w:r>
      <w:r w:rsidR="006D0843">
        <w:rPr>
          <w:rFonts w:ascii="Times New Roman" w:hAnsi="Times New Roman" w:cs="Times New Roman"/>
        </w:rPr>
        <w:t xml:space="preserve">tralasia; and third, they cover </w:t>
      </w:r>
      <w:r w:rsidR="006D0843" w:rsidRPr="006D0843">
        <w:rPr>
          <w:rFonts w:ascii="Times New Roman" w:hAnsi="Times New Roman" w:cs="Times New Roman"/>
        </w:rPr>
        <w:t>different stages of development of regulatory regim</w:t>
      </w:r>
      <w:r w:rsidR="006D0843">
        <w:rPr>
          <w:rFonts w:ascii="Times New Roman" w:hAnsi="Times New Roman" w:cs="Times New Roman"/>
        </w:rPr>
        <w:t xml:space="preserve">es: England &amp; Wales is ‘mature’ </w:t>
      </w:r>
      <w:r w:rsidR="006D0843" w:rsidRPr="006D0843">
        <w:rPr>
          <w:rFonts w:ascii="Times New Roman" w:hAnsi="Times New Roman" w:cs="Times New Roman"/>
        </w:rPr>
        <w:t xml:space="preserve">(established 1853), Canada is ‘middle aged’ (1967), </w:t>
      </w:r>
      <w:r w:rsidR="006D0843">
        <w:rPr>
          <w:rFonts w:ascii="Times New Roman" w:hAnsi="Times New Roman" w:cs="Times New Roman"/>
        </w:rPr>
        <w:t xml:space="preserve">and New Zealand is ‘adolescent’ </w:t>
      </w:r>
      <w:r w:rsidR="006D0843" w:rsidRPr="006D0843">
        <w:rPr>
          <w:rFonts w:ascii="Times New Roman" w:hAnsi="Times New Roman" w:cs="Times New Roman"/>
        </w:rPr>
        <w:t>(2007). Data for each jurisdiction also allow us to anal</w:t>
      </w:r>
      <w:r w:rsidR="006D0843">
        <w:rPr>
          <w:rFonts w:ascii="Times New Roman" w:hAnsi="Times New Roman" w:cs="Times New Roman"/>
        </w:rPr>
        <w:t xml:space="preserve">yse dissolution over the period </w:t>
      </w:r>
      <w:r w:rsidR="006D0843" w:rsidRPr="006D0843">
        <w:rPr>
          <w:rFonts w:ascii="Times New Roman" w:hAnsi="Times New Roman" w:cs="Times New Roman"/>
        </w:rPr>
        <w:t>of the financial crisis, enabling comparative</w:t>
      </w:r>
      <w:r w:rsidR="006D0843">
        <w:rPr>
          <w:rFonts w:ascii="Times New Roman" w:hAnsi="Times New Roman" w:cs="Times New Roman"/>
        </w:rPr>
        <w:t xml:space="preserve"> analyses of the impact of this </w:t>
      </w:r>
      <w:r w:rsidR="006D0843" w:rsidRPr="006D0843">
        <w:rPr>
          <w:rFonts w:ascii="Times New Roman" w:hAnsi="Times New Roman" w:cs="Times New Roman"/>
        </w:rPr>
        <w:t>phenomenon on the sustainability of each charity sector.</w:t>
      </w:r>
    </w:p>
    <w:p w:rsid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3.1. Dependent Variable</w:t>
      </w:r>
    </w:p>
    <w:p w:rsidR="00C524C6" w:rsidRDefault="006D0843" w:rsidP="006D0843">
      <w:pPr>
        <w:spacing w:line="360" w:lineRule="auto"/>
        <w:rPr>
          <w:rFonts w:ascii="Times New Roman" w:hAnsi="Times New Roman" w:cs="Times New Roman"/>
        </w:rPr>
      </w:pPr>
      <w:r>
        <w:rPr>
          <w:rFonts w:ascii="Times New Roman" w:hAnsi="Times New Roman" w:cs="Times New Roman"/>
        </w:rPr>
        <w:lastRenderedPageBreak/>
        <w:t xml:space="preserve">Many nonprofit regulators have a mandate to construct and maintain an accurate, complete and public register of organisations that currently </w:t>
      </w:r>
      <w:r w:rsidR="00AA52E1">
        <w:rPr>
          <w:rFonts w:ascii="Times New Roman" w:hAnsi="Times New Roman" w:cs="Times New Roman"/>
        </w:rPr>
        <w:t>possess</w:t>
      </w:r>
      <w:r>
        <w:rPr>
          <w:rFonts w:ascii="Times New Roman" w:hAnsi="Times New Roman" w:cs="Times New Roman"/>
        </w:rPr>
        <w:t xml:space="preserve"> charity status. In addi</w:t>
      </w:r>
      <w:r w:rsidR="00AA52E1">
        <w:rPr>
          <w:rFonts w:ascii="Times New Roman" w:hAnsi="Times New Roman" w:cs="Times New Roman"/>
        </w:rPr>
        <w:t>tion these regulators will</w:t>
      </w:r>
      <w:r>
        <w:rPr>
          <w:rFonts w:ascii="Times New Roman" w:hAnsi="Times New Roman" w:cs="Times New Roman"/>
        </w:rPr>
        <w:t xml:space="preserve"> retain, though sometimes not share, the list of organisations no longer registered as charities. There is considerable variation across jurisdictions in how charity deregistration is recorded: some regulators do not disaggregate between the different forms (Scotland, Republic of Ireland, Northern Ireland</w:t>
      </w:r>
      <w:r w:rsidR="00F724C8">
        <w:rPr>
          <w:rFonts w:ascii="Times New Roman" w:hAnsi="Times New Roman" w:cs="Times New Roman"/>
        </w:rPr>
        <w:t>), while others differentiate at least to some degree (England &amp; Wales, Canada, New Zealand, Australia).</w:t>
      </w:r>
      <w:r>
        <w:rPr>
          <w:rFonts w:ascii="Times New Roman" w:hAnsi="Times New Roman" w:cs="Times New Roman"/>
        </w:rPr>
        <w:t xml:space="preserve"> </w:t>
      </w:r>
      <w:r w:rsidR="00F724C8">
        <w:rPr>
          <w:rFonts w:ascii="Times New Roman" w:hAnsi="Times New Roman" w:cs="Times New Roman"/>
        </w:rPr>
        <w:t xml:space="preserve">Table A1 in the appendices outlines the categorical measures of deregistration employed by the three jurisdictions included in this study. Using these fields in the data, we </w:t>
      </w:r>
      <w:r w:rsidR="00DA19FB">
        <w:rPr>
          <w:rFonts w:ascii="Times New Roman" w:hAnsi="Times New Roman" w:cs="Times New Roman"/>
        </w:rPr>
        <w:t>attempt</w:t>
      </w:r>
      <w:r w:rsidR="00F724C8">
        <w:rPr>
          <w:rFonts w:ascii="Times New Roman" w:hAnsi="Times New Roman" w:cs="Times New Roman"/>
        </w:rPr>
        <w:t xml:space="preserve"> to define our dependent variable by process of elimination; this is</w:t>
      </w:r>
      <w:r w:rsidR="00F01EEF">
        <w:rPr>
          <w:rFonts w:ascii="Times New Roman" w:hAnsi="Times New Roman" w:cs="Times New Roman"/>
        </w:rPr>
        <w:t xml:space="preserve"> suboptimal but</w:t>
      </w:r>
      <w:r w:rsidR="00F724C8">
        <w:rPr>
          <w:rFonts w:ascii="Times New Roman" w:hAnsi="Times New Roman" w:cs="Times New Roman"/>
        </w:rPr>
        <w:t xml:space="preserve"> necessary as regulators do not record mission accomplishment as a distinct category in the data. </w:t>
      </w:r>
      <w:r w:rsidR="00F01EEF">
        <w:rPr>
          <w:rFonts w:ascii="Times New Roman" w:hAnsi="Times New Roman" w:cs="Times New Roman"/>
        </w:rPr>
        <w:t xml:space="preserve">Therefore, the dependent variable </w:t>
      </w:r>
      <w:r w:rsidR="00DA19FB">
        <w:rPr>
          <w:rFonts w:ascii="Times New Roman" w:hAnsi="Times New Roman" w:cs="Times New Roman"/>
        </w:rPr>
        <w:t>should capture</w:t>
      </w:r>
      <w:r w:rsidR="00F01EEF">
        <w:rPr>
          <w:rFonts w:ascii="Times New Roman" w:hAnsi="Times New Roman" w:cs="Times New Roman"/>
        </w:rPr>
        <w:t xml:space="preserve"> charities that voluntarily ceased to exist (i.e. dissolved), excluding instances of mergers, amalgamations, and </w:t>
      </w:r>
      <w:r w:rsidR="0094558C">
        <w:rPr>
          <w:rFonts w:ascii="Times New Roman" w:hAnsi="Times New Roman" w:cs="Times New Roman"/>
        </w:rPr>
        <w:t>wind ups – see Table 1 below</w:t>
      </w:r>
      <w:r w:rsidR="00AA52E1">
        <w:rPr>
          <w:rFonts w:ascii="Times New Roman" w:hAnsi="Times New Roman" w:cs="Times New Roman"/>
        </w:rPr>
        <w:t xml:space="preserve"> for how we operationalised the dependent variable</w:t>
      </w:r>
      <w:r w:rsidR="0094558C">
        <w:rPr>
          <w:rFonts w:ascii="Times New Roman" w:hAnsi="Times New Roman" w:cs="Times New Roman"/>
        </w:rPr>
        <w:t>.</w:t>
      </w:r>
      <w:r w:rsidR="00AA52E1">
        <w:rPr>
          <w:rFonts w:ascii="Times New Roman" w:hAnsi="Times New Roman" w:cs="Times New Roman"/>
        </w:rPr>
        <w:t xml:space="preserve"> </w:t>
      </w:r>
    </w:p>
    <w:p w:rsidR="0094558C" w:rsidRDefault="0094558C" w:rsidP="006D0843">
      <w:pPr>
        <w:spacing w:line="360" w:lineRule="auto"/>
        <w:rPr>
          <w:rFonts w:ascii="Times New Roman" w:hAnsi="Times New Roman" w:cs="Times New Roman"/>
        </w:rPr>
      </w:pPr>
      <w:r w:rsidRPr="004953A4">
        <w:rPr>
          <w:rFonts w:ascii="Times New Roman" w:hAnsi="Times New Roman" w:cs="Times New Roman"/>
          <w:b/>
        </w:rPr>
        <w:t>Table 1.</w:t>
      </w:r>
      <w:r>
        <w:rPr>
          <w:rFonts w:ascii="Times New Roman" w:hAnsi="Times New Roman" w:cs="Times New Roman"/>
        </w:rPr>
        <w:t xml:space="preserve"> Dependent Variable – Voluntary Dissolution</w:t>
      </w:r>
    </w:p>
    <w:tbl>
      <w:tblPr>
        <w:tblW w:w="5000" w:type="pct"/>
        <w:tblCellMar>
          <w:left w:w="75" w:type="dxa"/>
          <w:right w:w="75" w:type="dxa"/>
        </w:tblCellMar>
        <w:tblLook w:val="0000" w:firstRow="0" w:lastRow="0" w:firstColumn="0" w:lastColumn="0" w:noHBand="0" w:noVBand="0"/>
      </w:tblPr>
      <w:tblGrid>
        <w:gridCol w:w="1655"/>
        <w:gridCol w:w="2078"/>
        <w:gridCol w:w="5293"/>
      </w:tblGrid>
      <w:tr w:rsidR="00090789" w:rsidRPr="001377BA" w:rsidTr="00090789">
        <w:tc>
          <w:tcPr>
            <w:tcW w:w="917" w:type="pct"/>
            <w:tcBorders>
              <w:top w:val="single" w:sz="4" w:space="0" w:color="auto"/>
              <w:left w:val="nil"/>
              <w:bottom w:val="single" w:sz="6"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Concept</w:t>
            </w:r>
          </w:p>
        </w:tc>
        <w:tc>
          <w:tcPr>
            <w:tcW w:w="1151" w:type="pct"/>
            <w:tcBorders>
              <w:top w:val="single" w:sz="4" w:space="0" w:color="auto"/>
              <w:left w:val="nil"/>
              <w:bottom w:val="single" w:sz="6" w:space="0" w:color="auto"/>
              <w:right w:val="nil"/>
            </w:tcBorders>
          </w:tcPr>
          <w:p w:rsidR="00090789" w:rsidRPr="001377BA" w:rsidRDefault="00AA52E1"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Variable</w:t>
            </w:r>
          </w:p>
        </w:tc>
        <w:tc>
          <w:tcPr>
            <w:tcW w:w="2932" w:type="pct"/>
            <w:tcBorders>
              <w:top w:val="single" w:sz="4" w:space="0" w:color="auto"/>
              <w:left w:val="nil"/>
              <w:bottom w:val="single" w:sz="6"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Operationalisation</w:t>
            </w:r>
          </w:p>
        </w:tc>
      </w:tr>
      <w:tr w:rsidR="00090789" w:rsidRPr="001377BA" w:rsidTr="00090789">
        <w:tc>
          <w:tcPr>
            <w:tcW w:w="917" w:type="pct"/>
            <w:tcBorders>
              <w:top w:val="single" w:sz="6" w:space="0" w:color="auto"/>
              <w:left w:val="nil"/>
              <w:bottom w:val="single" w:sz="4"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Charity status</w:t>
            </w:r>
          </w:p>
        </w:tc>
        <w:tc>
          <w:tcPr>
            <w:tcW w:w="1151" w:type="pct"/>
            <w:tcBorders>
              <w:top w:val="single" w:sz="6" w:space="0" w:color="auto"/>
              <w:left w:val="nil"/>
              <w:bottom w:val="single" w:sz="4"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`depvar`</w:t>
            </w:r>
          </w:p>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6" w:space="0" w:color="auto"/>
              <w:left w:val="nil"/>
              <w:bottom w:val="single" w:sz="4" w:space="0" w:color="auto"/>
              <w:right w:val="nil"/>
            </w:tcBorders>
          </w:tcPr>
          <w:p w:rsidR="00090789"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 xml:space="preserve">Multinomial </w:t>
            </w:r>
            <w:r w:rsidR="001377BA">
              <w:rPr>
                <w:rFonts w:ascii="Times New Roman" w:hAnsi="Times New Roman" w:cs="Times New Roman"/>
              </w:rPr>
              <w:t>measure of the current status of a charity.</w:t>
            </w:r>
          </w:p>
          <w:p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0 = Registered</w:t>
            </w:r>
          </w:p>
          <w:p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1 = Failed</w:t>
            </w:r>
          </w:p>
          <w:p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2 = Voluntary Dissolution</w:t>
            </w:r>
          </w:p>
          <w:p w:rsidR="00090789" w:rsidRP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3 = Other deregistration</w:t>
            </w:r>
          </w:p>
        </w:tc>
      </w:tr>
      <w:tr w:rsidR="00090789" w:rsidRPr="001377BA" w:rsidTr="00090789">
        <w:tc>
          <w:tcPr>
            <w:tcW w:w="917" w:type="pct"/>
            <w:tcBorders>
              <w:top w:val="single" w:sz="4" w:space="0" w:color="auto"/>
              <w:left w:val="nil"/>
              <w:bottom w:val="nil"/>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1151" w:type="pct"/>
            <w:tcBorders>
              <w:top w:val="single" w:sz="4" w:space="0" w:color="auto"/>
              <w:left w:val="nil"/>
              <w:bottom w:val="nil"/>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4" w:space="0" w:color="auto"/>
              <w:left w:val="nil"/>
              <w:bottom w:val="nil"/>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r>
    </w:tbl>
    <w:p w:rsidR="00C524C6" w:rsidRDefault="00C524C6" w:rsidP="00C524C6">
      <w:pPr>
        <w:spacing w:line="360" w:lineRule="auto"/>
        <w:rPr>
          <w:rFonts w:ascii="Times New Roman" w:hAnsi="Times New Roman" w:cs="Times New Roman"/>
        </w:rPr>
      </w:pPr>
      <w:r>
        <w:rPr>
          <w:rFonts w:ascii="Times New Roman" w:hAnsi="Times New Roman" w:cs="Times New Roman"/>
        </w:rPr>
        <w:t>To understand how these categories map to the regulators’ measures of deregistration we look at the case of Canadian data:</w:t>
      </w:r>
    </w:p>
    <w:p w:rsidR="00C524C6" w:rsidRPr="00C524C6" w:rsidRDefault="00C524C6" w:rsidP="00C524C6">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0 = organisations still possessing charity status;</w:t>
      </w:r>
    </w:p>
    <w:p w:rsidR="00C524C6" w:rsidRPr="00C524C6" w:rsidRDefault="00C524C6" w:rsidP="00C524C6">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1 = organisations deregistered by the regulator (e.g. failure to file annual returns and accounts);</w:t>
      </w:r>
    </w:p>
    <w:p w:rsidR="00C524C6" w:rsidRPr="00C524C6" w:rsidRDefault="00C524C6" w:rsidP="00C524C6">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 xml:space="preserve">2 = organisations voluntarily dissolved (e.g. mergers and amalgamation, mission accomplishment, insufficient resources); </w:t>
      </w:r>
    </w:p>
    <w:p w:rsidR="00C524C6" w:rsidRPr="00C524C6" w:rsidRDefault="00C524C6" w:rsidP="00C524C6">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3 = organisations deregistered for miscellaneous reasons (e.g. losing corporate status).</w:t>
      </w:r>
    </w:p>
    <w:p w:rsidR="004953A4" w:rsidRDefault="00C524C6" w:rsidP="006D0843">
      <w:pPr>
        <w:spacing w:line="360" w:lineRule="auto"/>
        <w:rPr>
          <w:rFonts w:ascii="Times New Roman" w:hAnsi="Times New Roman" w:cs="Times New Roman"/>
        </w:rPr>
      </w:pPr>
      <w:r>
        <w:rPr>
          <w:rFonts w:ascii="Times New Roman" w:hAnsi="Times New Roman" w:cs="Times New Roman"/>
        </w:rPr>
        <w:t>However, this approach only takes us so far in differentiating different types of dissolution; for example</w:t>
      </w:r>
      <w:r w:rsidR="006728FA">
        <w:rPr>
          <w:rFonts w:ascii="Times New Roman" w:hAnsi="Times New Roman" w:cs="Times New Roman"/>
        </w:rPr>
        <w:t xml:space="preserve"> in the Canadian data</w:t>
      </w:r>
      <w:r>
        <w:rPr>
          <w:rFonts w:ascii="Times New Roman" w:hAnsi="Times New Roman" w:cs="Times New Roman"/>
        </w:rPr>
        <w:t xml:space="preserve"> the Voluntary Dissolution category currently groups winding up</w:t>
      </w:r>
      <w:r w:rsidR="006728FA">
        <w:rPr>
          <w:rFonts w:ascii="Times New Roman" w:hAnsi="Times New Roman" w:cs="Times New Roman"/>
        </w:rPr>
        <w:t>, mergers and amalgamations</w:t>
      </w:r>
      <w:r>
        <w:rPr>
          <w:rFonts w:ascii="Times New Roman" w:hAnsi="Times New Roman" w:cs="Times New Roman"/>
        </w:rPr>
        <w:t xml:space="preserve"> and mission accomplishment together. Therefore we needed to utilise other fields in the data to better identify the outcome of interest; this is discussed further in section 3.2. </w:t>
      </w:r>
    </w:p>
    <w:p w:rsidR="006D0843" w:rsidRPr="006D0843" w:rsidRDefault="006D0843" w:rsidP="006D0843">
      <w:pPr>
        <w:spacing w:line="360" w:lineRule="auto"/>
        <w:rPr>
          <w:rFonts w:ascii="Times New Roman" w:hAnsi="Times New Roman" w:cs="Times New Roman"/>
          <w:b/>
        </w:rPr>
      </w:pPr>
      <w:r w:rsidRPr="006D0843">
        <w:rPr>
          <w:rFonts w:ascii="Times New Roman" w:hAnsi="Times New Roman" w:cs="Times New Roman"/>
          <w:b/>
        </w:rPr>
        <w:lastRenderedPageBreak/>
        <w:t>3.2. Data Collection</w:t>
      </w:r>
    </w:p>
    <w:p w:rsidR="006C3245" w:rsidRPr="006C3245" w:rsidRDefault="006C3245" w:rsidP="006D0843">
      <w:pPr>
        <w:spacing w:line="360" w:lineRule="auto"/>
        <w:rPr>
          <w:rFonts w:ascii="Times New Roman" w:hAnsi="Times New Roman" w:cs="Times New Roman"/>
        </w:rPr>
      </w:pPr>
      <w:r w:rsidRPr="006C3245">
        <w:rPr>
          <w:rFonts w:ascii="Times New Roman" w:hAnsi="Times New Roman" w:cs="Times New Roman"/>
        </w:rPr>
        <w:t xml:space="preserve">The data </w:t>
      </w:r>
      <w:r w:rsidR="006728FA">
        <w:rPr>
          <w:rFonts w:ascii="Times New Roman" w:hAnsi="Times New Roman" w:cs="Times New Roman"/>
        </w:rPr>
        <w:t xml:space="preserve">were collected </w:t>
      </w:r>
      <w:r w:rsidR="00F01EEF">
        <w:rPr>
          <w:rFonts w:ascii="Times New Roman" w:hAnsi="Times New Roman" w:cs="Times New Roman"/>
        </w:rPr>
        <w:t>f</w:t>
      </w:r>
      <w:r w:rsidRPr="006C3245">
        <w:rPr>
          <w:rFonts w:ascii="Times New Roman" w:hAnsi="Times New Roman" w:cs="Times New Roman"/>
        </w:rPr>
        <w:t>rom each regulator’s data portal</w:t>
      </w:r>
      <w:r w:rsidR="00F01EEF">
        <w:rPr>
          <w:rFonts w:ascii="Times New Roman" w:hAnsi="Times New Roman" w:cs="Times New Roman"/>
        </w:rPr>
        <w:t xml:space="preserve"> or website</w:t>
      </w:r>
      <w:r w:rsidRPr="006C3245">
        <w:rPr>
          <w:rFonts w:ascii="Times New Roman" w:hAnsi="Times New Roman" w:cs="Times New Roman"/>
        </w:rPr>
        <w:t>:</w:t>
      </w:r>
    </w:p>
    <w:p w:rsidR="006C3245" w:rsidRPr="006C3245" w:rsidRDefault="00F01EEF" w:rsidP="006C324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Charity Commission for England &amp; Wales - </w:t>
      </w:r>
      <w:r w:rsidR="006C3245" w:rsidRPr="006C3245">
        <w:rPr>
          <w:rFonts w:ascii="Times New Roman" w:hAnsi="Times New Roman" w:cs="Times New Roman"/>
        </w:rPr>
        <w:t>http://data.charitycommission.gov.uk/</w:t>
      </w:r>
    </w:p>
    <w:p w:rsidR="006C3245" w:rsidRPr="006C3245" w:rsidRDefault="00F01EEF" w:rsidP="006C324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Canada Revenue Agency - </w:t>
      </w:r>
      <w:r w:rsidR="006C3245" w:rsidRPr="006C3245">
        <w:rPr>
          <w:rFonts w:ascii="Times New Roman" w:hAnsi="Times New Roman" w:cs="Times New Roman"/>
        </w:rPr>
        <w:t>https://www.canada.ca/en/revenue-agency/services/charities-giving/charities-listings.html</w:t>
      </w:r>
    </w:p>
    <w:p w:rsidR="006C3245" w:rsidRPr="006C3245" w:rsidRDefault="00F01EEF" w:rsidP="006C324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New Zealand Charities Services - </w:t>
      </w:r>
      <w:r w:rsidR="006C3245" w:rsidRPr="006C3245">
        <w:rPr>
          <w:rFonts w:ascii="Times New Roman" w:hAnsi="Times New Roman" w:cs="Times New Roman"/>
        </w:rPr>
        <w:t>https://www.charities.govt.nz/charities-in-new-zealand/the-charities-register/open-data/</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 xml:space="preserve">The data </w:t>
      </w:r>
      <w:r w:rsidR="00AA52E1">
        <w:rPr>
          <w:rFonts w:ascii="Times New Roman" w:hAnsi="Times New Roman" w:cs="Times New Roman"/>
        </w:rPr>
        <w:t>were</w:t>
      </w:r>
      <w:r w:rsidRPr="006C3245">
        <w:rPr>
          <w:rFonts w:ascii="Times New Roman" w:hAnsi="Times New Roman" w:cs="Times New Roman"/>
        </w:rPr>
        <w:t xml:space="preserve"> collected using Python scripts (an open-source programming language), some of which </w:t>
      </w:r>
      <w:r w:rsidR="006728FA">
        <w:rPr>
          <w:rFonts w:ascii="Times New Roman" w:hAnsi="Times New Roman" w:cs="Times New Roman"/>
        </w:rPr>
        <w:t>were already in existence</w:t>
      </w:r>
      <w:r w:rsidR="001D1F1C">
        <w:rPr>
          <w:rFonts w:ascii="Times New Roman" w:hAnsi="Times New Roman" w:cs="Times New Roman"/>
        </w:rPr>
        <w:t xml:space="preserve">. </w:t>
      </w:r>
      <w:r w:rsidRPr="006C3245">
        <w:rPr>
          <w:rFonts w:ascii="Times New Roman" w:hAnsi="Times New Roman" w:cs="Times New Roman"/>
        </w:rPr>
        <w:t xml:space="preserve">The downloaded data </w:t>
      </w:r>
      <w:r w:rsidR="006728FA">
        <w:rPr>
          <w:rFonts w:ascii="Times New Roman" w:hAnsi="Times New Roman" w:cs="Times New Roman"/>
        </w:rPr>
        <w:t>were imported into Stata where they were cleaned for analysis. This entire process was recorded and stored on the project’s Github repository: [INSERT LINK]</w:t>
      </w:r>
      <w:r w:rsidRPr="006C3245">
        <w:rPr>
          <w:rFonts w:ascii="Times New Roman" w:hAnsi="Times New Roman" w:cs="Times New Roman"/>
        </w:rPr>
        <w:t xml:space="preserve"> </w:t>
      </w:r>
    </w:p>
    <w:p w:rsidR="006728FA" w:rsidRPr="00B072E2" w:rsidRDefault="006728FA" w:rsidP="006C3245">
      <w:pPr>
        <w:spacing w:line="360" w:lineRule="auto"/>
        <w:rPr>
          <w:rFonts w:ascii="Times New Roman" w:hAnsi="Times New Roman" w:cs="Times New Roman"/>
          <w:i/>
        </w:rPr>
      </w:pPr>
      <w:r w:rsidRPr="00B072E2">
        <w:rPr>
          <w:rFonts w:ascii="Times New Roman" w:hAnsi="Times New Roman" w:cs="Times New Roman"/>
          <w:i/>
        </w:rPr>
        <w:t>3.2.1. England &amp; Wales</w:t>
      </w:r>
    </w:p>
    <w:p w:rsidR="00B072E2" w:rsidRDefault="00213C1B" w:rsidP="006C3245">
      <w:pPr>
        <w:spacing w:line="360" w:lineRule="auto"/>
        <w:rPr>
          <w:rFonts w:ascii="Times New Roman" w:hAnsi="Times New Roman" w:cs="Times New Roman"/>
        </w:rPr>
      </w:pPr>
      <w:r>
        <w:rPr>
          <w:rFonts w:ascii="Times New Roman" w:hAnsi="Times New Roman" w:cs="Times New Roman"/>
        </w:rPr>
        <w:t>Beginning in</w:t>
      </w:r>
      <w:r w:rsidR="006728FA">
        <w:rPr>
          <w:rFonts w:ascii="Times New Roman" w:hAnsi="Times New Roman" w:cs="Times New Roman"/>
        </w:rPr>
        <w:t xml:space="preserve"> [MONTH 2017] the </w:t>
      </w:r>
      <w:r w:rsidR="006728FA">
        <w:rPr>
          <w:rFonts w:ascii="Times New Roman" w:hAnsi="Times New Roman" w:cs="Times New Roman"/>
        </w:rPr>
        <w:t xml:space="preserve">Charity Commission for England &amp; Wales </w:t>
      </w:r>
      <w:r w:rsidR="006728FA">
        <w:rPr>
          <w:rFonts w:ascii="Times New Roman" w:hAnsi="Times New Roman" w:cs="Times New Roman"/>
        </w:rPr>
        <w:t xml:space="preserve">releases monthly extracts of </w:t>
      </w:r>
      <w:r>
        <w:rPr>
          <w:rFonts w:ascii="Times New Roman" w:hAnsi="Times New Roman" w:cs="Times New Roman"/>
        </w:rPr>
        <w:t xml:space="preserve">the data it holds about charities. The extract consists of three zip files: Charity Register; Supplementary Information Returns (SIR); and Table Build, which consists of scripts for constructing the fifteen datasets contained in the </w:t>
      </w:r>
      <w:r>
        <w:rPr>
          <w:rFonts w:ascii="Times New Roman" w:hAnsi="Times New Roman" w:cs="Times New Roman"/>
        </w:rPr>
        <w:t>Charity Register</w:t>
      </w:r>
      <w:r>
        <w:rPr>
          <w:rFonts w:ascii="Times New Roman" w:hAnsi="Times New Roman" w:cs="Times New Roman"/>
        </w:rPr>
        <w:t xml:space="preserve"> and SIR zip files. The datasets are provided in the .bcp file format, which [INSERT EXPLANATION]. In order to convert these datasets to a more amenable format for research </w:t>
      </w:r>
      <w:r w:rsidR="0069231F">
        <w:rPr>
          <w:rFonts w:ascii="Times New Roman" w:hAnsi="Times New Roman" w:cs="Times New Roman"/>
        </w:rPr>
        <w:t xml:space="preserve">– comma separated values files – </w:t>
      </w:r>
      <w:r>
        <w:rPr>
          <w:rFonts w:ascii="Times New Roman" w:hAnsi="Times New Roman" w:cs="Times New Roman"/>
        </w:rPr>
        <w:t>we employed the use of Python scripts produced and publicly shared by the National Council for Voluntary Organisations (NCVO)</w:t>
      </w:r>
      <w:r w:rsidR="001D1F1C">
        <w:rPr>
          <w:rFonts w:ascii="Times New Roman" w:hAnsi="Times New Roman" w:cs="Times New Roman"/>
        </w:rPr>
        <w:t xml:space="preserve">: see </w:t>
      </w:r>
      <w:hyperlink r:id="rId7" w:history="1">
        <w:r w:rsidR="00A348A2" w:rsidRPr="00713C2A">
          <w:rPr>
            <w:rStyle w:val="Hyperlink"/>
            <w:rFonts w:ascii="Times New Roman" w:hAnsi="Times New Roman" w:cs="Times New Roman"/>
          </w:rPr>
          <w:t>https://github.com/ncvo/charity-commission-extract</w:t>
        </w:r>
      </w:hyperlink>
      <w:r w:rsidR="00A348A2">
        <w:rPr>
          <w:rFonts w:ascii="Times New Roman" w:hAnsi="Times New Roman" w:cs="Times New Roman"/>
        </w:rPr>
        <w:t>. The execution of these scripts results in fifteen datasets – see Table A2 in the appendices for the data dictionary.</w:t>
      </w:r>
    </w:p>
    <w:p w:rsidR="00B072E2" w:rsidRPr="00B072E2" w:rsidRDefault="00B072E2" w:rsidP="00B072E2">
      <w:pPr>
        <w:spacing w:line="360" w:lineRule="auto"/>
        <w:rPr>
          <w:rFonts w:ascii="Times New Roman" w:hAnsi="Times New Roman" w:cs="Times New Roman"/>
          <w:i/>
        </w:rPr>
      </w:pPr>
      <w:r w:rsidRPr="00B072E2">
        <w:rPr>
          <w:rFonts w:ascii="Times New Roman" w:hAnsi="Times New Roman" w:cs="Times New Roman"/>
          <w:i/>
        </w:rPr>
        <w:t>3.2.2</w:t>
      </w:r>
      <w:r w:rsidRPr="00B072E2">
        <w:rPr>
          <w:rFonts w:ascii="Times New Roman" w:hAnsi="Times New Roman" w:cs="Times New Roman"/>
          <w:i/>
        </w:rPr>
        <w:t xml:space="preserve">. </w:t>
      </w:r>
      <w:r w:rsidRPr="00B072E2">
        <w:rPr>
          <w:rFonts w:ascii="Times New Roman" w:hAnsi="Times New Roman" w:cs="Times New Roman"/>
          <w:i/>
        </w:rPr>
        <w:t>Canada</w:t>
      </w:r>
    </w:p>
    <w:p w:rsidR="00B072E2" w:rsidRDefault="00054991" w:rsidP="006C3245">
      <w:pPr>
        <w:spacing w:line="360" w:lineRule="auto"/>
        <w:rPr>
          <w:rFonts w:ascii="Times New Roman" w:hAnsi="Times New Roman" w:cs="Times New Roman"/>
        </w:rPr>
      </w:pPr>
      <w:r>
        <w:rPr>
          <w:rFonts w:ascii="Times New Roman" w:hAnsi="Times New Roman" w:cs="Times New Roman"/>
        </w:rPr>
        <w:t xml:space="preserve">The Canada Revenue Agency (CRA) makes charity data available via a </w:t>
      </w:r>
      <w:r w:rsidR="00935CD4">
        <w:rPr>
          <w:rFonts w:ascii="Times New Roman" w:hAnsi="Times New Roman" w:cs="Times New Roman"/>
        </w:rPr>
        <w:t>search function on its website.</w:t>
      </w:r>
      <w:bookmarkStart w:id="0" w:name="_GoBack"/>
      <w:bookmarkEnd w:id="0"/>
    </w:p>
    <w:p w:rsidR="00B072E2" w:rsidRPr="00B072E2" w:rsidRDefault="00B072E2" w:rsidP="006C3245">
      <w:pPr>
        <w:spacing w:line="360" w:lineRule="auto"/>
        <w:rPr>
          <w:rFonts w:ascii="Times New Roman" w:hAnsi="Times New Roman" w:cs="Times New Roman"/>
          <w:i/>
        </w:rPr>
      </w:pPr>
      <w:r w:rsidRPr="00B072E2">
        <w:rPr>
          <w:rFonts w:ascii="Times New Roman" w:hAnsi="Times New Roman" w:cs="Times New Roman"/>
          <w:i/>
        </w:rPr>
        <w:t>3.2.3. New Zealand</w:t>
      </w:r>
    </w:p>
    <w:p w:rsidR="00AC328C" w:rsidRPr="006C3245" w:rsidRDefault="00AC328C" w:rsidP="006C3245">
      <w:pPr>
        <w:spacing w:line="360" w:lineRule="auto"/>
        <w:rPr>
          <w:rFonts w:ascii="Times New Roman" w:hAnsi="Times New Roman" w:cs="Times New Roman"/>
        </w:rPr>
      </w:pPr>
      <w:r w:rsidRPr="006C3245">
        <w:rPr>
          <w:rFonts w:ascii="Times New Roman" w:hAnsi="Times New Roman" w:cs="Times New Roman"/>
        </w:rPr>
        <w:br w:type="page"/>
      </w:r>
    </w:p>
    <w:p w:rsidR="00AC328C" w:rsidRDefault="003D2697" w:rsidP="003D2697">
      <w:pPr>
        <w:spacing w:line="360" w:lineRule="auto"/>
        <w:jc w:val="center"/>
        <w:rPr>
          <w:rFonts w:ascii="Times New Roman" w:hAnsi="Times New Roman" w:cs="Times New Roman"/>
          <w:b/>
        </w:rPr>
      </w:pPr>
      <w:r>
        <w:rPr>
          <w:rFonts w:ascii="Times New Roman" w:hAnsi="Times New Roman" w:cs="Times New Roman"/>
          <w:b/>
        </w:rPr>
        <w:lastRenderedPageBreak/>
        <w:t xml:space="preserve">4. </w:t>
      </w:r>
      <w:r w:rsidR="006C3245" w:rsidRPr="006C3245">
        <w:rPr>
          <w:rFonts w:ascii="Times New Roman" w:hAnsi="Times New Roman" w:cs="Times New Roman"/>
          <w:b/>
        </w:rPr>
        <w:t>Results</w:t>
      </w:r>
    </w:p>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b/>
        </w:rPr>
        <w:t>Table 1.</w:t>
      </w:r>
      <w:r w:rsidRPr="005A393E">
        <w:rPr>
          <w:rFonts w:ascii="Times New Roman" w:hAnsi="Times New Roman" w:cs="Times New Roman"/>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5"/>
        <w:gridCol w:w="850"/>
        <w:gridCol w:w="283"/>
        <w:gridCol w:w="993"/>
        <w:gridCol w:w="708"/>
        <w:gridCol w:w="285"/>
        <w:gridCol w:w="1188"/>
        <w:gridCol w:w="749"/>
      </w:tblGrid>
      <w:tr w:rsidR="005A393E" w:rsidRPr="005A393E" w:rsidTr="005A393E">
        <w:tc>
          <w:tcPr>
            <w:tcW w:w="1570" w:type="pct"/>
            <w:tcBorders>
              <w:top w:val="single" w:sz="4" w:space="0" w:color="auto"/>
              <w:left w:val="nil"/>
              <w:bottom w:val="nil"/>
              <w:right w:val="nil"/>
            </w:tcBorders>
          </w:tcPr>
          <w:p w:rsidR="005A393E" w:rsidRPr="005A393E" w:rsidRDefault="005A393E">
            <w:pPr>
              <w:spacing w:line="360" w:lineRule="auto"/>
              <w:rPr>
                <w:rFonts w:ascii="Times New Roman" w:hAnsi="Times New Roman" w:cs="Times New Roman"/>
              </w:rPr>
            </w:pPr>
          </w:p>
        </w:tc>
        <w:tc>
          <w:tcPr>
            <w:tcW w:w="1100"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England &amp; Wales</w:t>
            </w:r>
          </w:p>
        </w:tc>
        <w:tc>
          <w:tcPr>
            <w:tcW w:w="157"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942"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 xml:space="preserve">New Zealand </w:t>
            </w:r>
          </w:p>
        </w:tc>
        <w:tc>
          <w:tcPr>
            <w:tcW w:w="158"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Canada</w:t>
            </w:r>
          </w:p>
        </w:tc>
      </w:tr>
      <w:tr w:rsidR="005A393E" w:rsidRPr="005A393E" w:rsidTr="005A393E">
        <w:tc>
          <w:tcPr>
            <w:tcW w:w="1570" w:type="pct"/>
            <w:vAlign w:val="bottom"/>
            <w:hideMark/>
          </w:tcPr>
          <w:p w:rsidR="005A393E" w:rsidRPr="005A393E" w:rsidRDefault="005A393E">
            <w:pPr>
              <w:spacing w:line="360" w:lineRule="auto"/>
              <w:rPr>
                <w:rFonts w:ascii="Times New Roman" w:hAnsi="Times New Roman" w:cs="Times New Roman"/>
                <w:color w:val="000000"/>
              </w:rPr>
            </w:pPr>
            <w:r w:rsidRPr="005A393E">
              <w:rPr>
                <w:rFonts w:ascii="Times New Roman" w:hAnsi="Times New Roman" w:cs="Times New Roman"/>
              </w:rPr>
              <w:t>Status</w:t>
            </w:r>
          </w:p>
        </w:tc>
        <w:tc>
          <w:tcPr>
            <w:tcW w:w="629"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71"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392"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8"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658"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15"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r>
      <w:tr w:rsidR="005A393E" w:rsidRPr="005A393E" w:rsidTr="005A393E">
        <w:tc>
          <w:tcPr>
            <w:tcW w:w="1570" w:type="pct"/>
            <w:tcBorders>
              <w:top w:val="single" w:sz="4" w:space="0" w:color="auto"/>
              <w:left w:val="nil"/>
              <w:bottom w:val="nil"/>
              <w:right w:val="nil"/>
            </w:tcBorders>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Active</w:t>
            </w:r>
          </w:p>
        </w:tc>
        <w:tc>
          <w:tcPr>
            <w:tcW w:w="629"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168,210</w:t>
            </w:r>
          </w:p>
        </w:tc>
        <w:tc>
          <w:tcPr>
            <w:tcW w:w="471"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53</w:t>
            </w:r>
          </w:p>
        </w:tc>
        <w:tc>
          <w:tcPr>
            <w:tcW w:w="157" w:type="pct"/>
            <w:tcBorders>
              <w:top w:val="single" w:sz="4" w:space="0" w:color="auto"/>
              <w:left w:val="nil"/>
              <w:bottom w:val="nil"/>
              <w:right w:val="nil"/>
            </w:tcBorders>
          </w:tcPr>
          <w:p w:rsidR="005A393E" w:rsidRPr="005A393E" w:rsidRDefault="005A393E" w:rsidP="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27,280</w:t>
            </w:r>
          </w:p>
        </w:tc>
        <w:tc>
          <w:tcPr>
            <w:tcW w:w="392"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77</w:t>
            </w:r>
          </w:p>
        </w:tc>
        <w:tc>
          <w:tcPr>
            <w:tcW w:w="158" w:type="pct"/>
            <w:tcBorders>
              <w:top w:val="single" w:sz="4" w:space="0" w:color="auto"/>
              <w:left w:val="nil"/>
              <w:bottom w:val="nil"/>
              <w:right w:val="nil"/>
            </w:tcBorders>
          </w:tcPr>
          <w:p w:rsidR="005A393E" w:rsidRPr="005A393E" w:rsidRDefault="005A393E" w:rsidP="005A393E"/>
        </w:tc>
        <w:tc>
          <w:tcPr>
            <w:tcW w:w="658"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86,246</w:t>
            </w:r>
          </w:p>
        </w:tc>
        <w:tc>
          <w:tcPr>
            <w:tcW w:w="415"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Pr>
                <w:rFonts w:ascii="Times New Roman" w:hAnsi="Times New Roman" w:cs="Times New Roman"/>
              </w:rPr>
              <w:t>68</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Failed</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5,563</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16</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21,478</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17</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 xml:space="preserve">Voluntary </w:t>
            </w:r>
            <w:r>
              <w:rPr>
                <w:rFonts w:ascii="Times New Roman" w:hAnsi="Times New Roman" w:cs="Times New Roman"/>
                <w:color w:val="000000"/>
              </w:rPr>
              <w:t>Dissolution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85,598</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2</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2,606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18,519</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15</w:t>
            </w:r>
          </w:p>
        </w:tc>
      </w:tr>
      <w:tr w:rsidR="005A393E" w:rsidRPr="005A393E" w:rsidTr="005A393E">
        <w:tc>
          <w:tcPr>
            <w:tcW w:w="1570" w:type="pct"/>
            <w:vAlign w:val="bottom"/>
            <w:hideMark/>
          </w:tcPr>
          <w:p w:rsidR="005A393E" w:rsidRPr="005A393E" w:rsidRDefault="004953A4" w:rsidP="005A393E">
            <w:pPr>
              <w:spacing w:line="360" w:lineRule="auto"/>
              <w:rPr>
                <w:rFonts w:ascii="Times New Roman" w:hAnsi="Times New Roman" w:cs="Times New Roman"/>
              </w:rPr>
            </w:pPr>
            <w:r>
              <w:rPr>
                <w:rFonts w:ascii="Times New Roman" w:hAnsi="Times New Roman" w:cs="Times New Roman"/>
                <w:color w:val="000000"/>
              </w:rPr>
              <w:t>Other De</w:t>
            </w:r>
            <w:r w:rsidR="005A393E">
              <w:rPr>
                <w:rFonts w:ascii="Times New Roman" w:hAnsi="Times New Roman" w:cs="Times New Roman"/>
                <w:color w:val="000000"/>
              </w:rPr>
              <w:t>registration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62,516</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9</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95</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0</w:t>
            </w:r>
          </w:p>
        </w:tc>
      </w:tr>
      <w:tr w:rsidR="005A393E" w:rsidRPr="005A393E" w:rsidTr="005A393E">
        <w:tc>
          <w:tcPr>
            <w:tcW w:w="1570" w:type="pct"/>
            <w:tcBorders>
              <w:top w:val="nil"/>
              <w:left w:val="nil"/>
              <w:bottom w:val="single" w:sz="4" w:space="0" w:color="auto"/>
              <w:right w:val="nil"/>
            </w:tcBorders>
            <w:hideMark/>
          </w:tcPr>
          <w:p w:rsidR="005A393E" w:rsidRPr="005A393E" w:rsidRDefault="005A393E">
            <w:pPr>
              <w:spacing w:line="360" w:lineRule="auto"/>
              <w:rPr>
                <w:rFonts w:ascii="Times New Roman" w:hAnsi="Times New Roman" w:cs="Times New Roman"/>
                <w:b/>
              </w:rPr>
            </w:pPr>
            <w:r w:rsidRPr="005A393E">
              <w:rPr>
                <w:rFonts w:ascii="Times New Roman" w:hAnsi="Times New Roman" w:cs="Times New Roman"/>
                <w:b/>
              </w:rPr>
              <w:t>Total</w:t>
            </w:r>
          </w:p>
        </w:tc>
        <w:tc>
          <w:tcPr>
            <w:tcW w:w="629"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239,203</w:t>
            </w:r>
          </w:p>
        </w:tc>
        <w:tc>
          <w:tcPr>
            <w:tcW w:w="471"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100</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b/>
              </w:rPr>
            </w:pPr>
          </w:p>
        </w:tc>
        <w:tc>
          <w:tcPr>
            <w:tcW w:w="550"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35,715</w:t>
            </w:r>
          </w:p>
        </w:tc>
        <w:tc>
          <w:tcPr>
            <w:tcW w:w="392"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100</w:t>
            </w:r>
          </w:p>
        </w:tc>
        <w:tc>
          <w:tcPr>
            <w:tcW w:w="158" w:type="pct"/>
            <w:tcBorders>
              <w:top w:val="nil"/>
              <w:left w:val="nil"/>
              <w:bottom w:val="single" w:sz="4" w:space="0" w:color="auto"/>
              <w:right w:val="nil"/>
            </w:tcBorders>
          </w:tcPr>
          <w:p w:rsidR="005A393E" w:rsidRPr="005A393E" w:rsidRDefault="005A393E"/>
        </w:tc>
        <w:tc>
          <w:tcPr>
            <w:tcW w:w="658"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126,338</w:t>
            </w:r>
          </w:p>
        </w:tc>
        <w:tc>
          <w:tcPr>
            <w:tcW w:w="415"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100</w:t>
            </w:r>
          </w:p>
        </w:tc>
      </w:tr>
    </w:tbl>
    <w:p w:rsidR="005A393E" w:rsidRDefault="005A393E" w:rsidP="005A393E">
      <w:pPr>
        <w:rPr>
          <w:rFonts w:ascii="Times New Roman" w:hAnsi="Times New Roman" w:cs="Times New Roman"/>
          <w:sz w:val="20"/>
          <w:szCs w:val="20"/>
        </w:rPr>
      </w:pPr>
      <w:r>
        <w:rPr>
          <w:rFonts w:ascii="Times New Roman" w:hAnsi="Times New Roman" w:cs="Times New Roman"/>
          <w:i/>
          <w:sz w:val="20"/>
          <w:szCs w:val="20"/>
        </w:rPr>
        <w:t>Note:</w:t>
      </w:r>
      <w:r>
        <w:rPr>
          <w:rFonts w:ascii="Times New Roman" w:hAnsi="Times New Roman" w:cs="Times New Roman"/>
          <w:sz w:val="20"/>
          <w:szCs w:val="20"/>
        </w:rPr>
        <w:t xml:space="preserve"> Percentages rounded to whole number. n = the number of charities for which we have no missing data for all of the independent variables in the statistical models.</w:t>
      </w:r>
      <w:r>
        <w:rPr>
          <w:rFonts w:ascii="Times New Roman" w:hAnsi="Times New Roman" w:cs="Times New Roman"/>
          <w:sz w:val="20"/>
          <w:szCs w:val="20"/>
        </w:rPr>
        <w:br/>
      </w:r>
      <w:r>
        <w:rPr>
          <w:rFonts w:ascii="Times New Roman" w:hAnsi="Times New Roman" w:cs="Times New Roman"/>
          <w:i/>
          <w:sz w:val="20"/>
          <w:szCs w:val="20"/>
        </w:rPr>
        <w:t>Source:</w:t>
      </w:r>
      <w:r>
        <w:rPr>
          <w:rFonts w:ascii="Times New Roman" w:hAnsi="Times New Roman" w:cs="Times New Roman"/>
          <w:sz w:val="20"/>
          <w:szCs w:val="20"/>
        </w:rPr>
        <w:t xml:space="preserve"> Charity Commission Register of Charities (31/12/2016); [NZ REGULATOR (DOWNLOAD DATE)]; [CANADA REGULATOR (DOWNLOAD DATE)].</w:t>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1.</w:t>
      </w:r>
      <w:r>
        <w:rPr>
          <w:rFonts w:ascii="Times New Roman" w:hAnsi="Times New Roman" w:cs="Times New Roman"/>
        </w:rPr>
        <w:t xml:space="preserve"> Canada – 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_removedreason_01jun20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2.</w:t>
      </w:r>
      <w:r>
        <w:rPr>
          <w:rFonts w:ascii="Times New Roman" w:hAnsi="Times New Roman" w:cs="Times New Roman"/>
        </w:rPr>
        <w:t xml:space="preserve"> England &amp; Wales - 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w_removedreason_01jun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3.</w:t>
      </w:r>
      <w:r>
        <w:rPr>
          <w:rFonts w:ascii="Times New Roman" w:hAnsi="Times New Roman" w:cs="Times New Roman"/>
        </w:rPr>
        <w:t xml:space="preserve"> New Zealand - De-registration reasons, 2007-</w:t>
      </w:r>
    </w:p>
    <w:p w:rsidR="00883E38" w:rsidRPr="005A393E" w:rsidRDefault="006C4472" w:rsidP="006C3245">
      <w:pPr>
        <w:spacing w:line="360" w:lineRule="auto"/>
        <w:rPr>
          <w:rFonts w:ascii="Times New Roman" w:hAnsi="Times New Roman" w:cs="Times New Roman"/>
        </w:rPr>
      </w:pPr>
      <w:r>
        <w:rPr>
          <w:noProof/>
          <w:lang w:eastAsia="en-GB"/>
        </w:rPr>
        <w:drawing>
          <wp:inline distT="0" distB="0" distL="0" distR="0" wp14:anchorId="48CF1B8D" wp14:editId="39626BE8">
            <wp:extent cx="5731510" cy="41973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rsidR="00B73859" w:rsidRPr="00BD14E8" w:rsidRDefault="00B73859" w:rsidP="006C3245">
      <w:pPr>
        <w:spacing w:line="360" w:lineRule="auto"/>
        <w:rPr>
          <w:rFonts w:ascii="Times New Roman" w:hAnsi="Times New Roman" w:cs="Times New Roman"/>
          <w:b/>
        </w:rPr>
      </w:pPr>
      <w:r w:rsidRPr="00BD14E8">
        <w:rPr>
          <w:rFonts w:ascii="Times New Roman" w:hAnsi="Times New Roman" w:cs="Times New Roman"/>
          <w:b/>
        </w:rPr>
        <w:t>Notes</w:t>
      </w:r>
    </w:p>
    <w:p w:rsidR="00B73859" w:rsidRPr="00BD14E8" w:rsidRDefault="00B73859" w:rsidP="006C3245">
      <w:pPr>
        <w:spacing w:line="360" w:lineRule="auto"/>
        <w:rPr>
          <w:rFonts w:ascii="Times New Roman" w:hAnsi="Times New Roman" w:cs="Times New Roman"/>
        </w:rPr>
        <w:sectPr w:rsidR="00B73859" w:rsidRPr="00BD14E8" w:rsidSect="00AC328C">
          <w:footerReference w:type="default" r:id="rId11"/>
          <w:pgSz w:w="11906" w:h="16838"/>
          <w:pgMar w:top="1440" w:right="1440" w:bottom="1440" w:left="1440" w:header="708" w:footer="708" w:gutter="0"/>
          <w:cols w:space="708"/>
          <w:docGrid w:linePitch="360"/>
        </w:sectPr>
      </w:pPr>
      <w:r w:rsidRPr="00BD14E8">
        <w:rPr>
          <w:rFonts w:ascii="Times New Roman" w:hAnsi="Times New Roman" w:cs="Times New Roman"/>
        </w:rPr>
        <w:t xml:space="preserve">Voluntary dissolution is not comparable (yet) between the three </w:t>
      </w:r>
      <w:r w:rsidR="00A81E5B" w:rsidRPr="00BD14E8">
        <w:rPr>
          <w:rFonts w:ascii="Times New Roman" w:hAnsi="Times New Roman" w:cs="Times New Roman"/>
        </w:rPr>
        <w:t>juris</w:t>
      </w:r>
      <w:r w:rsidRPr="00BD14E8">
        <w:rPr>
          <w:rFonts w:ascii="Times New Roman" w:hAnsi="Times New Roman" w:cs="Times New Roman"/>
        </w:rPr>
        <w:t>dictions</w:t>
      </w:r>
      <w:r w:rsidR="00A81E5B" w:rsidRPr="00BD14E8">
        <w:rPr>
          <w:rFonts w:ascii="Times New Roman" w:hAnsi="Times New Roman" w:cs="Times New Roman"/>
        </w:rPr>
        <w:t>: in Canada mergers and amalgamations cannot be differentiated from other forms, something we can do with England &amp; Wales and New Zealand.</w:t>
      </w:r>
    </w:p>
    <w:p w:rsidR="00102B9F" w:rsidRPr="00F724C8" w:rsidRDefault="00CE0397" w:rsidP="00F724C8">
      <w:pPr>
        <w:spacing w:line="360" w:lineRule="auto"/>
        <w:jc w:val="center"/>
        <w:rPr>
          <w:rFonts w:ascii="Times New Roman" w:hAnsi="Times New Roman" w:cs="Times New Roman"/>
          <w:b/>
        </w:rPr>
      </w:pPr>
      <w:r w:rsidRPr="00F724C8">
        <w:rPr>
          <w:rFonts w:ascii="Times New Roman" w:hAnsi="Times New Roman" w:cs="Times New Roman"/>
          <w:b/>
        </w:rPr>
        <w:lastRenderedPageBreak/>
        <w:t>Appendices</w:t>
      </w:r>
    </w:p>
    <w:p w:rsidR="00B11B55" w:rsidRPr="00F724C8" w:rsidRDefault="00F724C8" w:rsidP="00F724C8">
      <w:pPr>
        <w:spacing w:line="360" w:lineRule="auto"/>
        <w:rPr>
          <w:rFonts w:ascii="Times New Roman" w:hAnsi="Times New Roman" w:cs="Times New Roman"/>
        </w:rPr>
      </w:pPr>
      <w:r w:rsidRPr="00F724C8">
        <w:rPr>
          <w:rFonts w:ascii="Times New Roman" w:hAnsi="Times New Roman" w:cs="Times New Roman"/>
          <w:b/>
        </w:rPr>
        <w:t>Table A1.</w:t>
      </w:r>
      <w:r w:rsidRPr="00F724C8">
        <w:rPr>
          <w:rFonts w:ascii="Times New Roman" w:hAnsi="Times New Roman" w:cs="Times New Roman"/>
        </w:rPr>
        <w:t xml:space="preserve"> Defining Charity Deregistration</w:t>
      </w:r>
    </w:p>
    <w:tbl>
      <w:tblPr>
        <w:tblStyle w:val="TableGrid"/>
        <w:tblW w:w="5000" w:type="pct"/>
        <w:tblLook w:val="04A0" w:firstRow="1" w:lastRow="0" w:firstColumn="1" w:lastColumn="0" w:noHBand="0" w:noVBand="1"/>
      </w:tblPr>
      <w:tblGrid>
        <w:gridCol w:w="2263"/>
        <w:gridCol w:w="2979"/>
        <w:gridCol w:w="8706"/>
      </w:tblGrid>
      <w:tr w:rsidR="00106294" w:rsidRPr="00C155E0" w:rsidTr="000B5359">
        <w:tc>
          <w:tcPr>
            <w:tcW w:w="811"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Country</w:t>
            </w:r>
          </w:p>
        </w:tc>
        <w:tc>
          <w:tcPr>
            <w:tcW w:w="1068" w:type="pct"/>
          </w:tcPr>
          <w:p w:rsidR="00106294" w:rsidRPr="00C155E0" w:rsidRDefault="00F724C8" w:rsidP="00C155E0">
            <w:pPr>
              <w:spacing w:line="276" w:lineRule="auto"/>
              <w:rPr>
                <w:rFonts w:ascii="Times New Roman" w:hAnsi="Times New Roman" w:cs="Times New Roman"/>
                <w:b/>
              </w:rPr>
            </w:pPr>
            <w:r>
              <w:rPr>
                <w:rFonts w:ascii="Times New Roman" w:hAnsi="Times New Roman" w:cs="Times New Roman"/>
                <w:b/>
              </w:rPr>
              <w:t>De</w:t>
            </w:r>
            <w:r w:rsidR="00106294" w:rsidRPr="00C155E0">
              <w:rPr>
                <w:rFonts w:ascii="Times New Roman" w:hAnsi="Times New Roman" w:cs="Times New Roman"/>
                <w:b/>
              </w:rPr>
              <w:t>registration Type</w:t>
            </w:r>
          </w:p>
        </w:tc>
        <w:tc>
          <w:tcPr>
            <w:tcW w:w="3121"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Description</w:t>
            </w:r>
          </w:p>
        </w:tc>
      </w:tr>
      <w:tr w:rsidR="00106294" w:rsidRPr="00C155E0" w:rsidTr="000B5359">
        <w:tc>
          <w:tcPr>
            <w:tcW w:w="811" w:type="pct"/>
            <w:vMerge w:val="restar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1"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rsidTr="000B5359">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Audited</w:t>
            </w:r>
          </w:p>
        </w:tc>
        <w:tc>
          <w:tcPr>
            <w:tcW w:w="3121"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devoting your resources to your charitable purposes and activities.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keeping adequate books and records.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having direction and control over your resources.</w:t>
            </w:r>
          </w:p>
        </w:tc>
      </w:tr>
      <w:tr w:rsidR="00106294" w:rsidRPr="00C155E0" w:rsidTr="000B5359">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1"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rsidTr="000B5359">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1"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rsidTr="000B5359">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1" w:type="pct"/>
          </w:tcPr>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ended your operations because you merged or consolidated with another organization</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achieved your goal (for example, you were established to build a playground and you did)</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no longer have the required financial or physical resources to run your charity</w:t>
            </w:r>
            <w:r w:rsidRPr="00C155E0">
              <w:rPr>
                <w:rFonts w:ascii="Times New Roman" w:hAnsi="Times New Roman" w:cs="Times New Roman"/>
              </w:rPr>
              <w:t>.</w:t>
            </w:r>
          </w:p>
        </w:tc>
      </w:tr>
      <w:tr w:rsidR="00C155E0" w:rsidRPr="00C155E0" w:rsidTr="000B5359">
        <w:tc>
          <w:tcPr>
            <w:tcW w:w="811" w:type="pct"/>
            <w:vMerge w:val="restar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1"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C155E0" w:rsidRPr="00C155E0" w:rsidTr="000B5359">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1"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C155E0" w:rsidRPr="00C155E0" w:rsidTr="000B5359">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1"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rsidTr="000B5359">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1"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0B5359" w:rsidRPr="00C155E0" w:rsidTr="000B5359">
        <w:tc>
          <w:tcPr>
            <w:tcW w:w="811" w:type="pct"/>
            <w:vMerge w:val="restart"/>
          </w:tcPr>
          <w:p w:rsidR="000B5359" w:rsidRPr="00C155E0" w:rsidRDefault="000B5359" w:rsidP="00C155E0">
            <w:pPr>
              <w:spacing w:line="276" w:lineRule="auto"/>
              <w:rPr>
                <w:rFonts w:ascii="Times New Roman" w:hAnsi="Times New Roman" w:cs="Times New Roman"/>
              </w:rPr>
            </w:pPr>
            <w:r w:rsidRPr="00C155E0">
              <w:rPr>
                <w:rFonts w:ascii="Times New Roman" w:hAnsi="Times New Roman" w:cs="Times New Roman"/>
              </w:rPr>
              <w:t>England &amp; Wales</w:t>
            </w:r>
          </w:p>
        </w:tc>
        <w:tc>
          <w:tcPr>
            <w:tcW w:w="1068" w:type="pct"/>
          </w:tcPr>
          <w:p w:rsidR="000B5359" w:rsidRPr="00C155E0" w:rsidRDefault="000B5359" w:rsidP="00C155E0">
            <w:pPr>
              <w:spacing w:line="276" w:lineRule="auto"/>
              <w:rPr>
                <w:rFonts w:ascii="Times New Roman" w:hAnsi="Times New Roman" w:cs="Times New Roman"/>
              </w:rPr>
            </w:pPr>
            <w:r>
              <w:rPr>
                <w:rFonts w:ascii="Times New Roman" w:hAnsi="Times New Roman" w:cs="Times New Roman"/>
              </w:rPr>
              <w:t>Other</w:t>
            </w:r>
          </w:p>
        </w:tc>
        <w:tc>
          <w:tcPr>
            <w:tcW w:w="3121" w:type="pct"/>
          </w:tcPr>
          <w:p w:rsidR="000B5359" w:rsidRPr="00C155E0" w:rsidRDefault="000B5359"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 excepted, funds transferred, funds spent etc.</w:t>
            </w:r>
          </w:p>
        </w:tc>
      </w:tr>
      <w:tr w:rsidR="000B5359" w:rsidRPr="00C155E0" w:rsidTr="000B5359">
        <w:tc>
          <w:tcPr>
            <w:tcW w:w="811" w:type="pct"/>
            <w:vMerge/>
          </w:tcPr>
          <w:p w:rsidR="000B5359" w:rsidRPr="00C155E0" w:rsidRDefault="000B5359" w:rsidP="00C155E0">
            <w:pPr>
              <w:spacing w:line="276" w:lineRule="auto"/>
              <w:rPr>
                <w:rFonts w:ascii="Times New Roman" w:hAnsi="Times New Roman" w:cs="Times New Roman"/>
              </w:rPr>
            </w:pPr>
          </w:p>
        </w:tc>
        <w:tc>
          <w:tcPr>
            <w:tcW w:w="1068" w:type="pct"/>
          </w:tcPr>
          <w:p w:rsidR="000B5359" w:rsidRDefault="000B5359" w:rsidP="00C155E0">
            <w:pPr>
              <w:spacing w:line="276" w:lineRule="auto"/>
              <w:rPr>
                <w:rFonts w:ascii="Times New Roman" w:hAnsi="Times New Roman" w:cs="Times New Roman"/>
              </w:rPr>
            </w:pPr>
            <w:r>
              <w:rPr>
                <w:rFonts w:ascii="Times New Roman" w:hAnsi="Times New Roman" w:cs="Times New Roman"/>
              </w:rPr>
              <w:t>Failure To File</w:t>
            </w:r>
          </w:p>
        </w:tc>
        <w:tc>
          <w:tcPr>
            <w:tcW w:w="3121" w:type="pct"/>
          </w:tcPr>
          <w:p w:rsidR="000B5359" w:rsidRDefault="000B5359" w:rsidP="00C155E0">
            <w:pPr>
              <w:spacing w:line="276" w:lineRule="auto"/>
              <w:rPr>
                <w:rFonts w:ascii="Times New Roman" w:hAnsi="Times New Roman" w:cs="Times New Roman"/>
              </w:rPr>
            </w:pPr>
            <w:r>
              <w:rPr>
                <w:rFonts w:ascii="Times New Roman" w:hAnsi="Times New Roman" w:cs="Times New Roman"/>
              </w:rPr>
              <w:t>Not a distinct reason in the data, is captured by the ‘Ceased to exist’ and ‘Does not operate’ reasons. We may be able to make the assumption that charities with missing data for ‘latest_income’ were removed for failure to file.</w:t>
            </w:r>
          </w:p>
        </w:tc>
      </w:tr>
      <w:tr w:rsidR="000B5359" w:rsidRPr="00C155E0" w:rsidTr="000B5359">
        <w:tc>
          <w:tcPr>
            <w:tcW w:w="811" w:type="pct"/>
            <w:vMerge/>
          </w:tcPr>
          <w:p w:rsidR="000B5359" w:rsidRPr="00C155E0" w:rsidRDefault="000B5359" w:rsidP="00C155E0">
            <w:pPr>
              <w:spacing w:line="276" w:lineRule="auto"/>
              <w:rPr>
                <w:rFonts w:ascii="Times New Roman" w:hAnsi="Times New Roman" w:cs="Times New Roman"/>
              </w:rPr>
            </w:pPr>
          </w:p>
        </w:tc>
        <w:tc>
          <w:tcPr>
            <w:tcW w:w="1068" w:type="pct"/>
          </w:tcPr>
          <w:p w:rsidR="000B5359" w:rsidRPr="00C155E0" w:rsidRDefault="000B5359" w:rsidP="00C155E0">
            <w:pPr>
              <w:spacing w:line="276" w:lineRule="auto"/>
              <w:rPr>
                <w:rFonts w:ascii="Times New Roman" w:hAnsi="Times New Roman" w:cs="Times New Roman"/>
              </w:rPr>
            </w:pPr>
            <w:r>
              <w:rPr>
                <w:rFonts w:ascii="Times New Roman" w:hAnsi="Times New Roman" w:cs="Times New Roman"/>
              </w:rPr>
              <w:t>Voluntary - Dissolution</w:t>
            </w:r>
          </w:p>
        </w:tc>
        <w:tc>
          <w:tcPr>
            <w:tcW w:w="3121" w:type="pct"/>
          </w:tcPr>
          <w:p w:rsidR="000B5359" w:rsidRDefault="000B5359" w:rsidP="00C155E0">
            <w:pPr>
              <w:spacing w:line="276" w:lineRule="auto"/>
              <w:rPr>
                <w:rFonts w:ascii="Times New Roman" w:hAnsi="Times New Roman" w:cs="Times New Roman"/>
              </w:rPr>
            </w:pPr>
            <w:r>
              <w:rPr>
                <w:rFonts w:ascii="Times New Roman" w:hAnsi="Times New Roman" w:cs="Times New Roman"/>
              </w:rPr>
              <w:t>Two reasons, and differences between incorporated and unincorporated:</w:t>
            </w:r>
          </w:p>
          <w:p w:rsidR="000B5359" w:rsidRDefault="000B5359" w:rsidP="002867BD">
            <w:pPr>
              <w:spacing w:line="276" w:lineRule="auto"/>
              <w:rPr>
                <w:rFonts w:ascii="Times New Roman" w:hAnsi="Times New Roman" w:cs="Times New Roman"/>
              </w:rPr>
            </w:pPr>
            <w:r>
              <w:rPr>
                <w:rFonts w:ascii="Times New Roman" w:hAnsi="Times New Roman" w:cs="Times New Roman"/>
              </w:rPr>
              <w:t>- Incorporated: ‘Ceased to exist’ means it has dissolved (i.e. struck off Companies House Register), and ‘Does not operate’ means it has not dissolved but is effectively defunct because it has no assets.</w:t>
            </w:r>
          </w:p>
          <w:p w:rsidR="000B5359" w:rsidRPr="00C155E0" w:rsidRDefault="000B5359" w:rsidP="002867BD">
            <w:pPr>
              <w:spacing w:line="276" w:lineRule="auto"/>
              <w:rPr>
                <w:rFonts w:ascii="Times New Roman" w:hAnsi="Times New Roman" w:cs="Times New Roman"/>
              </w:rPr>
            </w:pPr>
            <w:r>
              <w:rPr>
                <w:rFonts w:ascii="Times New Roman" w:hAnsi="Times New Roman" w:cs="Times New Roman"/>
              </w:rPr>
              <w:t xml:space="preserve">- Unincorporated: </w:t>
            </w:r>
            <w:r w:rsidRPr="00401A25">
              <w:rPr>
                <w:rFonts w:ascii="Times New Roman" w:hAnsi="Times New Roman" w:cs="Times New Roman"/>
              </w:rPr>
              <w:t xml:space="preserve">An unincorporated charity will </w:t>
            </w:r>
            <w:r>
              <w:rPr>
                <w:rFonts w:ascii="Times New Roman" w:hAnsi="Times New Roman" w:cs="Times New Roman"/>
              </w:rPr>
              <w:t>‘</w:t>
            </w:r>
            <w:r w:rsidRPr="00401A25">
              <w:rPr>
                <w:rFonts w:ascii="Times New Roman" w:hAnsi="Times New Roman" w:cs="Times New Roman"/>
              </w:rPr>
              <w:t>cease to exist</w:t>
            </w:r>
            <w:r>
              <w:rPr>
                <w:rFonts w:ascii="Times New Roman" w:hAnsi="Times New Roman" w:cs="Times New Roman"/>
              </w:rPr>
              <w:t>’</w:t>
            </w:r>
            <w:r w:rsidRPr="00401A25">
              <w:rPr>
                <w:rFonts w:ascii="Times New Roman" w:hAnsi="Times New Roman" w:cs="Times New Roman"/>
              </w:rPr>
              <w:t xml:space="preserve"> once it has no assets whether or not it has actually been legally dissolved.</w:t>
            </w:r>
          </w:p>
        </w:tc>
      </w:tr>
      <w:tr w:rsidR="000B5359" w:rsidRPr="00C155E0" w:rsidTr="000B5359">
        <w:tc>
          <w:tcPr>
            <w:tcW w:w="811" w:type="pct"/>
            <w:vMerge/>
          </w:tcPr>
          <w:p w:rsidR="000B5359" w:rsidRPr="00C155E0" w:rsidRDefault="000B5359" w:rsidP="00C155E0">
            <w:pPr>
              <w:spacing w:line="276" w:lineRule="auto"/>
              <w:rPr>
                <w:rFonts w:ascii="Times New Roman" w:hAnsi="Times New Roman" w:cs="Times New Roman"/>
              </w:rPr>
            </w:pPr>
          </w:p>
        </w:tc>
        <w:tc>
          <w:tcPr>
            <w:tcW w:w="1068" w:type="pct"/>
          </w:tcPr>
          <w:p w:rsidR="000B5359" w:rsidRPr="00C155E0" w:rsidRDefault="000B5359" w:rsidP="00C155E0">
            <w:pPr>
              <w:spacing w:line="276" w:lineRule="auto"/>
              <w:rPr>
                <w:rFonts w:ascii="Times New Roman" w:hAnsi="Times New Roman" w:cs="Times New Roman"/>
              </w:rPr>
            </w:pPr>
            <w:r>
              <w:rPr>
                <w:rFonts w:ascii="Times New Roman" w:hAnsi="Times New Roman" w:cs="Times New Roman"/>
              </w:rPr>
              <w:t>Voluntary - Other</w:t>
            </w:r>
          </w:p>
        </w:tc>
        <w:tc>
          <w:tcPr>
            <w:tcW w:w="3121" w:type="pct"/>
          </w:tcPr>
          <w:p w:rsidR="000B5359" w:rsidRDefault="000B5359" w:rsidP="008D64DD">
            <w:pPr>
              <w:spacing w:line="276" w:lineRule="auto"/>
              <w:rPr>
                <w:rFonts w:ascii="Times New Roman" w:hAnsi="Times New Roman" w:cs="Times New Roman"/>
              </w:rPr>
            </w:pPr>
            <w:r>
              <w:rPr>
                <w:rFonts w:ascii="Times New Roman" w:hAnsi="Times New Roman" w:cs="Times New Roman"/>
              </w:rPr>
              <w:t>This variable captures voluntary removal from the Register, rather than dissolution, windup, merger etc:</w:t>
            </w:r>
          </w:p>
          <w:p w:rsidR="000B5359" w:rsidRPr="008D64DD"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rsidR="000B5359"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rsidR="000B5359" w:rsidRPr="00C155E0"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charity whose income does not exceed £5,000</w:t>
            </w:r>
            <w:r>
              <w:rPr>
                <w:rFonts w:ascii="Times New Roman" w:hAnsi="Times New Roman" w:cs="Times New Roman"/>
              </w:rPr>
              <w:t xml:space="preserve"> (</w:t>
            </w:r>
            <w:r w:rsidRPr="000B5359">
              <w:rPr>
                <w:rFonts w:ascii="Times New Roman" w:hAnsi="Times New Roman" w:cs="Times New Roman"/>
              </w:rPr>
              <w:t>looks to be the main reason</w:t>
            </w:r>
            <w:r>
              <w:rPr>
                <w:rFonts w:ascii="Times New Roman" w:hAnsi="Times New Roman" w:cs="Times New Roman"/>
              </w:rPr>
              <w:t>)</w:t>
            </w:r>
            <w:r w:rsidRPr="008D64DD">
              <w:rPr>
                <w:rFonts w:ascii="Times New Roman" w:hAnsi="Times New Roman" w:cs="Times New Roman"/>
              </w:rPr>
              <w:t>.</w:t>
            </w:r>
          </w:p>
        </w:tc>
      </w:tr>
    </w:tbl>
    <w:p w:rsidR="00557F25" w:rsidRDefault="00557F25" w:rsidP="00F724C8"/>
    <w:sectPr w:rsidR="00557F25" w:rsidSect="00AC328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000" w:rsidRDefault="00B73000" w:rsidP="00AC328C">
      <w:pPr>
        <w:spacing w:after="0" w:line="240" w:lineRule="auto"/>
      </w:pPr>
      <w:r>
        <w:separator/>
      </w:r>
    </w:p>
  </w:endnote>
  <w:endnote w:type="continuationSeparator" w:id="0">
    <w:p w:rsidR="00B73000" w:rsidRDefault="00B73000"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36337212"/>
      <w:docPartObj>
        <w:docPartGallery w:val="Page Numbers (Bottom of Page)"/>
        <w:docPartUnique/>
      </w:docPartObj>
    </w:sdtPr>
    <w:sdtEndPr>
      <w:rPr>
        <w:noProof/>
      </w:rPr>
    </w:sdtEndPr>
    <w:sdtContent>
      <w:p w:rsidR="00AC328C" w:rsidRPr="00F01EEF" w:rsidRDefault="00AC328C"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935CD4">
          <w:rPr>
            <w:rFonts w:ascii="Times New Roman" w:hAnsi="Times New Roman" w:cs="Times New Roman"/>
            <w:noProof/>
          </w:rPr>
          <w:t>5</w:t>
        </w:r>
        <w:r w:rsidRPr="00F01EEF">
          <w:rPr>
            <w:rFonts w:ascii="Times New Roman" w:hAnsi="Times New Roman" w:cs="Times New Roman"/>
            <w:noProof/>
          </w:rPr>
          <w:fldChar w:fldCharType="end"/>
        </w:r>
      </w:p>
    </w:sdtContent>
  </w:sdt>
  <w:p w:rsidR="00AC328C" w:rsidRPr="00F01EEF" w:rsidRDefault="00AC328C"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000" w:rsidRDefault="00B73000" w:rsidP="00AC328C">
      <w:pPr>
        <w:spacing w:after="0" w:line="240" w:lineRule="auto"/>
      </w:pPr>
      <w:r>
        <w:separator/>
      </w:r>
    </w:p>
  </w:footnote>
  <w:footnote w:type="continuationSeparator" w:id="0">
    <w:p w:rsidR="00B73000" w:rsidRDefault="00B73000" w:rsidP="00AC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54991"/>
    <w:rsid w:val="00083215"/>
    <w:rsid w:val="00090789"/>
    <w:rsid w:val="000B5359"/>
    <w:rsid w:val="000C48AA"/>
    <w:rsid w:val="00102B9F"/>
    <w:rsid w:val="00106294"/>
    <w:rsid w:val="0011795B"/>
    <w:rsid w:val="001377BA"/>
    <w:rsid w:val="00156483"/>
    <w:rsid w:val="001841EA"/>
    <w:rsid w:val="001B16C4"/>
    <w:rsid w:val="001D1F1C"/>
    <w:rsid w:val="001F4F03"/>
    <w:rsid w:val="00213C1B"/>
    <w:rsid w:val="00286607"/>
    <w:rsid w:val="002867BD"/>
    <w:rsid w:val="002C11E1"/>
    <w:rsid w:val="002F681E"/>
    <w:rsid w:val="003D2697"/>
    <w:rsid w:val="00401A25"/>
    <w:rsid w:val="004953A4"/>
    <w:rsid w:val="00557F25"/>
    <w:rsid w:val="00567AA9"/>
    <w:rsid w:val="005747DD"/>
    <w:rsid w:val="00583AE7"/>
    <w:rsid w:val="005A393E"/>
    <w:rsid w:val="005C1770"/>
    <w:rsid w:val="005F36C9"/>
    <w:rsid w:val="0064214F"/>
    <w:rsid w:val="006728FA"/>
    <w:rsid w:val="0069231F"/>
    <w:rsid w:val="006A4B28"/>
    <w:rsid w:val="006B2E40"/>
    <w:rsid w:val="006C3245"/>
    <w:rsid w:val="006C4472"/>
    <w:rsid w:val="006D0843"/>
    <w:rsid w:val="00780887"/>
    <w:rsid w:val="00883E38"/>
    <w:rsid w:val="00886388"/>
    <w:rsid w:val="008876C7"/>
    <w:rsid w:val="008D64DD"/>
    <w:rsid w:val="008E3214"/>
    <w:rsid w:val="00935CD4"/>
    <w:rsid w:val="0094558C"/>
    <w:rsid w:val="00951769"/>
    <w:rsid w:val="0098532B"/>
    <w:rsid w:val="00A348A2"/>
    <w:rsid w:val="00A3659E"/>
    <w:rsid w:val="00A81E5B"/>
    <w:rsid w:val="00A93D20"/>
    <w:rsid w:val="00AA4066"/>
    <w:rsid w:val="00AA52E1"/>
    <w:rsid w:val="00AC328C"/>
    <w:rsid w:val="00B072E2"/>
    <w:rsid w:val="00B1019B"/>
    <w:rsid w:val="00B118DC"/>
    <w:rsid w:val="00B11B55"/>
    <w:rsid w:val="00B73000"/>
    <w:rsid w:val="00B73859"/>
    <w:rsid w:val="00B75AE0"/>
    <w:rsid w:val="00B773BE"/>
    <w:rsid w:val="00BD14E8"/>
    <w:rsid w:val="00BE6CB6"/>
    <w:rsid w:val="00C155E0"/>
    <w:rsid w:val="00C20141"/>
    <w:rsid w:val="00C40E56"/>
    <w:rsid w:val="00C524C6"/>
    <w:rsid w:val="00C5372D"/>
    <w:rsid w:val="00CE0397"/>
    <w:rsid w:val="00D2176A"/>
    <w:rsid w:val="00D30C05"/>
    <w:rsid w:val="00D74F58"/>
    <w:rsid w:val="00DA19FB"/>
    <w:rsid w:val="00DD2DAD"/>
    <w:rsid w:val="00E907C2"/>
    <w:rsid w:val="00F01EEF"/>
    <w:rsid w:val="00F724C8"/>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5BC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cvo/charity-commission-extr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26</cp:revision>
  <dcterms:created xsi:type="dcterms:W3CDTF">2018-06-04T15:07:00Z</dcterms:created>
  <dcterms:modified xsi:type="dcterms:W3CDTF">2018-06-05T17:27:00Z</dcterms:modified>
</cp:coreProperties>
</file>