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DLM-9. Literature Review</w:t>
      </w:r>
    </w:p>
    <w:p>
      <w:pPr>
        <w:jc w:val="both"/>
      </w:pPr>
      <w:r>
        <w:t>The review considers research relevant to the proposed gamified mobile application for basic digital literacy among children aged 6–10. The planned application introduces short lessons about device use, personal information and online safety. Children are expected to select answers, request hints, receive explanations and check their progress. At this stage, these are design plans rather than tested educational outcomes.</w:t>
      </w:r>
    </w:p>
    <w:p>
      <w:pPr>
        <w:pStyle w:val="Plainheading"/>
        <w:jc w:val="left"/>
      </w:pPr>
      <w:r>
        <w:t>Scope and selection of literature</w:t>
      </w:r>
    </w:p>
    <w:p>
      <w:pPr>
        <w:jc w:val="both"/>
      </w:pPr>
      <w:r>
        <w:t>Fourteen scientific journal articles published between 2023 and 2025 were selected for this narrative critical review. Three were supplied by the project team as full-text PDF files: De La Hera et al. [1], Vázquez-Cano et al. [2], and Falloon [3]. The remaining papers were identified through scholarly publication records and checked against journal or university-repository pages containing free full text. The sources include systematic and scoping reviews, classroom research, teacher surveys, controlled trials and game-usability studies. The selected publications can be located by title or DOI in Google Scholar; open-access links are given in the reference list. Scopus inclusion has not been independently verified for every individual item. This is a focused narrative review, not a new systematic review with a reproducible database search.</w:t>
      </w:r>
    </w:p>
    <w:p>
      <w:pPr>
        <w:jc w:val="both"/>
      </w:pPr>
      <w:r>
        <w:t>The review gives more weight to findings from primary-school samples than to studies of teenagers or university students. It also separates evidence that a game attracts participation from evidence that it improves knowledge or behaviour. This distinction matters because a child may enjoy a lesson without learning the intended safety rule.</w:t>
      </w:r>
    </w:p>
    <w:p>
      <w:pPr>
        <w:pStyle w:val="Plainheading"/>
        <w:jc w:val="left"/>
      </w:pPr>
      <w:r>
        <w:t>Digital literacy at an early age</w:t>
      </w:r>
    </w:p>
    <w:p>
      <w:pPr>
        <w:jc w:val="both"/>
      </w:pPr>
      <w:r>
        <w:t>The youngest children need more than instructions about which icons to tap. Falloon [3] studied 28 pupils aged six and seven during lessons involving online search and evaluation. The children showed emerging skills in locating information and deciding whether it could be trusted, although the tasks required teacher guidance. This is useful evidence that primary-age pupils can engage with such ideas when tasks are structured and supported. It is not proof that children of the same age will learn independently from our application: the study took place in one classroom, with teachers and paired work.</w:t>
      </w:r>
    </w:p>
    <w:p>
      <w:pPr>
        <w:jc w:val="both"/>
      </w:pPr>
      <w:r>
        <w:t>A review by Eliasson et al. [8] also describes technology education as an area that requires clear teaching aims and age-appropriate activities. It covers early-childhood education broadly, not specifically online safety or gamified applications. Cowling et al. [13] connect digital literacy with safety, habits and wellbeing, but their review deals with pupils aged 10–13. Esfandiari et al. [11], whose scoping review covered 34 studies of online-safety education, found that games were a popular teaching format and that many interventions targeted 11–14-year-olds. Together, these papers support the importance of digital education while leaving an evidence gap for children at the younger end of our intended 6–10 age range.</w:t>
      </w:r>
    </w:p>
    <w:p>
      <w:pPr>
        <w:jc w:val="both"/>
      </w:pPr>
      <w:r>
        <w:t>For this project, the early-age evidence favours concrete scenarios rather than abstract rules. A lesson can ask what to do when a stranger requests an address, show two possible actions, and explain the safer choice. It should not assume that all six-year-olds can read a long paragraph or apply a rule without help. Large controls, simple Russian text and optional hints are therefore design choices that need usability testing rather than properties already established by our own study.</w:t>
      </w:r>
    </w:p>
    <w:p>
      <w:pPr>
        <w:pStyle w:val="Plainheading"/>
        <w:jc w:val="left"/>
      </w:pPr>
      <w:r>
        <w:t>What gamification can and cannot achieve</w:t>
      </w:r>
    </w:p>
    <w:p>
      <w:pPr>
        <w:jc w:val="both"/>
      </w:pPr>
      <w:r>
        <w:t>The strongest overview of games in this subject is De La Hera et al. [1]. They analysed 30 academic publications about digital-literacy games and identified several design considerations, including visual explanations, realistic situations, meaningful decisions, room for practice and timely feedback. Their review also notes that younger children are not well represented in the research. These points support building short tasks about familiar online situations, but the review does not show that a particular combination of stars, questions and hints is effective.</w:t>
      </w:r>
    </w:p>
    <w:p>
      <w:pPr>
        <w:jc w:val="both"/>
      </w:pPr>
      <w:r>
        <w:t>In primary education specifically, the results are mixed. Romero-Rodríguez et al. [4] reviewed 31 studies and reported positive effects on engagement and motivation but mixed learning outcomes, along with some negative findings related to cooperation. Yusri and Zainal [7], reviewing 27 studies, describe generally favourable outcomes but also stress the lack of long-term evidence. Their results should not be treated as contradictory proof that gamification always works or never works. The studies included in the reviews used different subjects, ages, designs and measures. Our planned application has to be evaluated on its own learning goals.</w:t>
      </w:r>
    </w:p>
    <w:p>
      <w:pPr>
        <w:jc w:val="both"/>
      </w:pPr>
      <w:r>
        <w:t>Li et al. [5] provide a useful quantitative check. Their meta-analysis covered 35 interventions involving 2,500 participants and found only a small average gain in intrinsic motivation from gamification (Hedges’ g = 0.257). Reported effects on perceived competence were limited. Ramírez Ruiz et al. [6], reviewing 90 interventions in schools, argue that engagement should be examined more broadly than enjoyment or participation alone. Both studies suggest that a progress bar or a badge may support interest, but cannot stand in for evidence that a child understood why sharing a password is unsafe.</w:t>
      </w:r>
    </w:p>
    <w:p>
      <w:pPr>
        <w:jc w:val="both"/>
      </w:pPr>
      <w:r>
        <w:t>Vázquez-Cano et al. [2] add a practical design perspective from 212 Spanish primary-school teachers. Their analysis highlights curriculum connection, helpful feedback, progress assessment, accessibility and protection of personal information. The limitation is that the respondents were teachers describing app qualities, not children completing a tested digital-literacy course. We use the paper to justify design criteria, not to claim that the proposed app has proven educational value.</w:t>
      </w:r>
    </w:p>
    <w:p>
      <w:pPr>
        <w:pStyle w:val="Plainheading"/>
        <w:jc w:val="left"/>
      </w:pPr>
      <w:r>
        <w:t>Online safety learning and measured outcomes</w:t>
      </w:r>
    </w:p>
    <w:p>
      <w:pPr>
        <w:jc w:val="both"/>
      </w:pPr>
      <w:r>
        <w:t>A distinction between knowing a rule and acting on it appears across intervention studies. Alderman et al. [10] evaluated the Australian ThinkUKnow programme in a cluster randomised trial with 1,954 pupils. The intervention improved knowledge about online safety, but effects on risky behaviour and reporting intentions were less consistent. The programme was face-to-face and largely involved pupils older than our youngest intended users. Even so, its main lesson is relevant: a correct answer immediately after training is only one outcome.</w:t>
      </w:r>
    </w:p>
    <w:p>
      <w:pPr>
        <w:jc w:val="both"/>
      </w:pPr>
      <w:r>
        <w:t>Wong et al. [9] tested the Safe City mobile game with 340 children in grades four to six. The randomised comparison with a booklet showed no statistically significant difference in average outcome change between groups. Within the game group, more use was associated with some better safety outcomes. These associations should not be presented as proof that playing caused improvements. In addition, this study addressed broader child safety, rather than just online privacy or digital literacy. For our evaluation, a small pre/post knowledge test with careful interpretation would be more defensible than claiming success because children finish tasks.</w:t>
      </w:r>
    </w:p>
    <w:p>
      <w:pPr>
        <w:jc w:val="both"/>
      </w:pPr>
      <w:r>
        <w:t>Family participation may also matter. Quayyum and Jaccheri [12] evaluated CyberFamily with children aged 9–12 and their parents. The studies involved four parent–child pairs for feasibility and eleven for usability, and feedback suggested that a collaborative game can encourage safety conversations. The small number of participants means that educational effectiveness remains uncertain. Our first version does not include a parent dashboard, but the findings support allowing a parent or teacher to discuss learning scenarios with the child outside the application.</w:t>
      </w:r>
    </w:p>
    <w:p>
      <w:pPr>
        <w:jc w:val="both"/>
      </w:pPr>
      <w:r>
        <w:t>Henriksen-Bulmer et al. [14] describe a board game about privacy, scams and online interaction. It was trialled with young people aged 18–25, not primary-school children. It is useful as an example of scenario-based discussion, but its results cannot be transferred directly to a six-year-old using a phone. This is why the proposed application keeps familiar, short situations and avoids open-ended interactions with strangers or live websites.</w:t>
      </w:r>
    </w:p>
    <w:p>
      <w:pPr>
        <w:pStyle w:val="Plainheading"/>
        <w:jc w:val="left"/>
      </w:pPr>
      <w:r>
        <w:t>Structured comparison of selected studies</w:t>
      </w:r>
    </w:p>
    <w:p>
      <w:pPr>
        <w:jc w:val="both"/>
      </w:pPr>
      <w:r>
        <w:t>Table 1 summarises the evidence, its relevance and the main limitations. References are numbered consistently with the list below. “Useful for the project” means the paper informs a design or evaluation decision; it does not mean that it validates the application.</w:t>
      </w:r>
    </w:p>
    <w:tbl>
      <w:tblPr>
        <w:tblStyle w:val="TableGrid"/>
        <w:tblW w:type="auto" w:w="0"/>
        <w:jc w:val="center"/>
        <w:tblLayout w:type="fixed"/>
        <w:tblLook w:firstColumn="1" w:firstRow="1" w:lastColumn="0" w:lastRow="0" w:noHBand="0" w:noVBand="1" w:val="04A0"/>
      </w:tblPr>
      <w:tblGrid>
        <w:gridCol w:w="2835"/>
        <w:gridCol w:w="6520"/>
      </w:tblGrid>
      <w:tr>
        <w:trPr>
          <w:tblHeader/>
        </w:trPr>
        <w:tc>
          <w:tcPr>
            <w:tcW w:type="dxa" w:w="4677"/>
            <w:shd w:fill="EDEDED"/>
            <w:tcMar>
              <w:top w:w="90" w:type="dxa"/>
              <w:left w:w="90" w:type="dxa"/>
              <w:bottom w:w="90" w:type="dxa"/>
              <w:right w:w="90" w:type="dxa"/>
            </w:tcMar>
          </w:tcPr>
          <w:p>
            <w:pPr>
              <w:pStyle w:val="Tablebody"/>
            </w:pPr>
            <w:r/>
            <w:r>
              <w:rPr>
                <w:b/>
              </w:rPr>
              <w:t>Study and method</w:t>
            </w:r>
          </w:p>
        </w:tc>
        <w:tc>
          <w:tcPr>
            <w:tcW w:type="dxa" w:w="4677"/>
            <w:shd w:fill="EDEDED"/>
            <w:tcMar>
              <w:top w:w="90" w:type="dxa"/>
              <w:left w:w="90" w:type="dxa"/>
              <w:bottom w:w="90" w:type="dxa"/>
              <w:right w:w="90" w:type="dxa"/>
            </w:tcMar>
          </w:tcPr>
          <w:p>
            <w:pPr>
              <w:pStyle w:val="Tablebody"/>
            </w:pPr>
            <w:r/>
            <w:r>
              <w:rPr>
                <w:b/>
              </w:rPr>
              <w:t>Relevant finding, limitation and use in this project</w:t>
            </w:r>
          </w:p>
        </w:tc>
      </w:tr>
      <w:tr>
        <w:tc>
          <w:tcPr>
            <w:tcW w:type="dxa" w:w="2835"/>
            <w:vAlign w:val="top"/>
            <w:tcMar>
              <w:top w:w="90" w:type="dxa"/>
              <w:left w:w="90" w:type="dxa"/>
              <w:bottom w:w="90" w:type="dxa"/>
              <w:right w:w="90" w:type="dxa"/>
            </w:tcMar>
          </w:tcPr>
          <w:p>
            <w:pPr>
              <w:pStyle w:val="Tablebody"/>
            </w:pPr>
            <w:r/>
            <w:r>
              <w:t>[1] De La Hera et al. (2024)</w:t>
              <w:br/>
              <w:t>Systematic review; 30 publications.</w:t>
            </w:r>
          </w:p>
        </w:tc>
        <w:tc>
          <w:tcPr>
            <w:tcW w:type="dxa" w:w="6520"/>
            <w:vAlign w:val="top"/>
            <w:tcMar>
              <w:top w:w="90" w:type="dxa"/>
              <w:left w:w="90" w:type="dxa"/>
              <w:bottom w:w="90" w:type="dxa"/>
              <w:right w:w="90" w:type="dxa"/>
            </w:tcMar>
          </w:tcPr>
          <w:p>
            <w:pPr>
              <w:pStyle w:val="Tablebody"/>
            </w:pPr>
            <w:r/>
            <w:r>
              <w:t>Detailed design considerations for digital-literacy games. Under-represents young primary pupils; use to design meaningful choices and quick feedback, not to claim improved scores.</w:t>
            </w:r>
          </w:p>
        </w:tc>
      </w:tr>
      <w:tr>
        <w:tc>
          <w:tcPr>
            <w:tcW w:type="dxa" w:w="2835"/>
            <w:vAlign w:val="top"/>
            <w:tcMar>
              <w:top w:w="90" w:type="dxa"/>
              <w:left w:w="90" w:type="dxa"/>
              <w:bottom w:w="90" w:type="dxa"/>
              <w:right w:w="90" w:type="dxa"/>
            </w:tcMar>
          </w:tcPr>
          <w:p>
            <w:pPr>
              <w:pStyle w:val="Tablebody"/>
            </w:pPr>
            <w:r/>
            <w:r>
              <w:t>[2] Vázquez-Cano et al. (2023)</w:t>
              <w:br/>
              <w:t>Teacher survey; n = 212.</w:t>
            </w:r>
          </w:p>
        </w:tc>
        <w:tc>
          <w:tcPr>
            <w:tcW w:type="dxa" w:w="6520"/>
            <w:vAlign w:val="top"/>
            <w:tcMar>
              <w:top w:w="90" w:type="dxa"/>
              <w:left w:w="90" w:type="dxa"/>
              <w:bottom w:w="90" w:type="dxa"/>
              <w:right w:w="90" w:type="dxa"/>
            </w:tcMar>
          </w:tcPr>
          <w:p>
            <w:pPr>
              <w:pStyle w:val="Tablebody"/>
            </w:pPr>
            <w:r/>
            <w:r>
              <w:t>Links effective app design to learning aims, feedback, assessment, accessibility and privacy. Based on teacher views, not measured pupil gains.</w:t>
            </w:r>
          </w:p>
        </w:tc>
      </w:tr>
      <w:tr>
        <w:tc>
          <w:tcPr>
            <w:tcW w:type="dxa" w:w="2835"/>
            <w:vAlign w:val="top"/>
            <w:tcMar>
              <w:top w:w="90" w:type="dxa"/>
              <w:left w:w="90" w:type="dxa"/>
              <w:bottom w:w="90" w:type="dxa"/>
              <w:right w:w="90" w:type="dxa"/>
            </w:tcMar>
          </w:tcPr>
          <w:p>
            <w:pPr>
              <w:pStyle w:val="Tablebody"/>
            </w:pPr>
            <w:r/>
            <w:r>
              <w:t>[3] Falloon (2024)</w:t>
              <w:br/>
              <w:t>Case study; 28 pupils aged 6–7.</w:t>
            </w:r>
          </w:p>
        </w:tc>
        <w:tc>
          <w:tcPr>
            <w:tcW w:type="dxa" w:w="6520"/>
            <w:vAlign w:val="top"/>
            <w:tcMar>
              <w:top w:w="90" w:type="dxa"/>
              <w:left w:w="90" w:type="dxa"/>
              <w:bottom w:w="90" w:type="dxa"/>
              <w:right w:w="90" w:type="dxa"/>
            </w:tcMar>
          </w:tcPr>
          <w:p>
            <w:pPr>
              <w:pStyle w:val="Tablebody"/>
            </w:pPr>
            <w:r/>
            <w:r>
              <w:t>Shows emerging online information skills with scaffolding. Small, supported classroom setting; use for short guided tasks.</w:t>
            </w:r>
          </w:p>
        </w:tc>
      </w:tr>
      <w:tr>
        <w:tc>
          <w:tcPr>
            <w:tcW w:type="dxa" w:w="2835"/>
            <w:vAlign w:val="top"/>
            <w:tcMar>
              <w:top w:w="90" w:type="dxa"/>
              <w:left w:w="90" w:type="dxa"/>
              <w:bottom w:w="90" w:type="dxa"/>
              <w:right w:w="90" w:type="dxa"/>
            </w:tcMar>
          </w:tcPr>
          <w:p>
            <w:pPr>
              <w:pStyle w:val="Tablebody"/>
            </w:pPr>
            <w:r/>
            <w:r>
              <w:t>[4] Romero-Rodríguez et al. (2024)</w:t>
              <w:br/>
              <w:t>Systematic review; 31 studies.</w:t>
            </w:r>
          </w:p>
        </w:tc>
        <w:tc>
          <w:tcPr>
            <w:tcW w:type="dxa" w:w="6520"/>
            <w:vAlign w:val="top"/>
            <w:tcMar>
              <w:top w:w="90" w:type="dxa"/>
              <w:left w:w="90" w:type="dxa"/>
              <w:bottom w:w="90" w:type="dxa"/>
              <w:right w:w="90" w:type="dxa"/>
            </w:tcMar>
          </w:tcPr>
          <w:p>
            <w:pPr>
              <w:pStyle w:val="Tablebody"/>
            </w:pPr>
            <w:r/>
            <w:r>
              <w:t>Engagement often improves but learning outcomes are mixed, with some cooperation concerns. Avoid claiming automatic benefits from gamification.</w:t>
            </w:r>
          </w:p>
        </w:tc>
      </w:tr>
      <w:tr>
        <w:tc>
          <w:tcPr>
            <w:tcW w:type="dxa" w:w="2835"/>
            <w:vAlign w:val="top"/>
            <w:tcMar>
              <w:top w:w="90" w:type="dxa"/>
              <w:left w:w="90" w:type="dxa"/>
              <w:bottom w:w="90" w:type="dxa"/>
              <w:right w:w="90" w:type="dxa"/>
            </w:tcMar>
          </w:tcPr>
          <w:p>
            <w:pPr>
              <w:pStyle w:val="Tablebody"/>
            </w:pPr>
            <w:r/>
            <w:r>
              <w:t>[5] Li et al. (2024)</w:t>
              <w:br/>
              <w:t>Meta-analysis; 35 interventions, n = 2,500.</w:t>
            </w:r>
          </w:p>
        </w:tc>
        <w:tc>
          <w:tcPr>
            <w:tcW w:type="dxa" w:w="6520"/>
            <w:vAlign w:val="top"/>
            <w:tcMar>
              <w:top w:w="90" w:type="dxa"/>
              <w:left w:w="90" w:type="dxa"/>
              <w:bottom w:w="90" w:type="dxa"/>
              <w:right w:w="90" w:type="dxa"/>
            </w:tcMar>
          </w:tcPr>
          <w:p>
            <w:pPr>
              <w:pStyle w:val="Tablebody"/>
            </w:pPr>
            <w:r/>
            <w:r>
              <w:t>Small intrinsic-motivation gain; limited perceived-competence effect. Mixed educational settings; do not treat stars as learning evidence.</w:t>
            </w:r>
          </w:p>
        </w:tc>
      </w:tr>
      <w:tr>
        <w:tc>
          <w:tcPr>
            <w:tcW w:type="dxa" w:w="2835"/>
            <w:vAlign w:val="top"/>
            <w:tcMar>
              <w:top w:w="90" w:type="dxa"/>
              <w:left w:w="90" w:type="dxa"/>
              <w:bottom w:w="90" w:type="dxa"/>
              <w:right w:w="90" w:type="dxa"/>
            </w:tcMar>
          </w:tcPr>
          <w:p>
            <w:pPr>
              <w:pStyle w:val="Tablebody"/>
            </w:pPr>
            <w:r/>
            <w:r>
              <w:t>[6] Ramírez Ruiz et al. (2024)</w:t>
              <w:br/>
              <w:t>Review; 90 school interventions.</w:t>
            </w:r>
          </w:p>
        </w:tc>
        <w:tc>
          <w:tcPr>
            <w:tcW w:type="dxa" w:w="6520"/>
            <w:vAlign w:val="top"/>
            <w:tcMar>
              <w:top w:w="90" w:type="dxa"/>
              <w:left w:w="90" w:type="dxa"/>
              <w:bottom w:w="90" w:type="dxa"/>
              <w:right w:w="90" w:type="dxa"/>
            </w:tcMar>
          </w:tcPr>
          <w:p>
            <w:pPr>
              <w:pStyle w:val="Tablebody"/>
            </w:pPr>
            <w:r/>
            <w:r>
              <w:t>Engagement includes cognitive and behavioural aspects, not only activity. Not specific to digital-literacy tasks for ages 6–10.</w:t>
            </w:r>
          </w:p>
        </w:tc>
      </w:tr>
      <w:tr>
        <w:tc>
          <w:tcPr>
            <w:tcW w:type="dxa" w:w="2835"/>
            <w:vAlign w:val="top"/>
            <w:tcMar>
              <w:top w:w="90" w:type="dxa"/>
              <w:left w:w="90" w:type="dxa"/>
              <w:bottom w:w="90" w:type="dxa"/>
              <w:right w:w="90" w:type="dxa"/>
            </w:tcMar>
          </w:tcPr>
          <w:p>
            <w:pPr>
              <w:pStyle w:val="Tablebody"/>
            </w:pPr>
            <w:r/>
            <w:r>
              <w:t>[7] Yusri &amp; Zainal (2025)</w:t>
              <w:br/>
              <w:t>Review; 27 primary-school studies.</w:t>
            </w:r>
          </w:p>
        </w:tc>
        <w:tc>
          <w:tcPr>
            <w:tcW w:type="dxa" w:w="6520"/>
            <w:vAlign w:val="top"/>
            <w:tcMar>
              <w:top w:w="90" w:type="dxa"/>
              <w:left w:w="90" w:type="dxa"/>
              <w:bottom w:w="90" w:type="dxa"/>
              <w:right w:w="90" w:type="dxa"/>
            </w:tcMar>
          </w:tcPr>
          <w:p>
            <w:pPr>
              <w:pStyle w:val="Tablebody"/>
            </w:pPr>
            <w:r/>
            <w:r>
              <w:t>Reports often positive learning and engagement findings but limited long-term evidence. Supports pilot testing and careful reporting.</w:t>
            </w:r>
          </w:p>
        </w:tc>
      </w:tr>
    </w:tbl>
    <w:p>
      <w:pPr>
        <w:spacing w:after="20"/>
      </w:pPr>
    </w:p>
    <w:tbl>
      <w:tblPr>
        <w:tblStyle w:val="TableGrid"/>
        <w:tblW w:type="auto" w:w="0"/>
        <w:jc w:val="center"/>
        <w:tblLayout w:type="fixed"/>
        <w:tblLook w:firstColumn="1" w:firstRow="1" w:lastColumn="0" w:lastRow="0" w:noHBand="0" w:noVBand="1" w:val="04A0"/>
      </w:tblPr>
      <w:tblGrid>
        <w:gridCol w:w="2835"/>
        <w:gridCol w:w="6520"/>
      </w:tblGrid>
      <w:tr>
        <w:trPr>
          <w:tblHeader/>
        </w:trPr>
        <w:tc>
          <w:tcPr>
            <w:tcW w:type="dxa" w:w="4677"/>
            <w:shd w:fill="EDEDED"/>
            <w:tcMar>
              <w:top w:w="90" w:type="dxa"/>
              <w:left w:w="90" w:type="dxa"/>
              <w:bottom w:w="90" w:type="dxa"/>
              <w:right w:w="90" w:type="dxa"/>
            </w:tcMar>
          </w:tcPr>
          <w:p>
            <w:pPr>
              <w:pStyle w:val="Tablebody"/>
            </w:pPr>
            <w:r/>
            <w:r>
              <w:rPr>
                <w:b/>
              </w:rPr>
              <w:t>Study and method</w:t>
            </w:r>
          </w:p>
        </w:tc>
        <w:tc>
          <w:tcPr>
            <w:tcW w:type="dxa" w:w="4677"/>
            <w:shd w:fill="EDEDED"/>
            <w:tcMar>
              <w:top w:w="90" w:type="dxa"/>
              <w:left w:w="90" w:type="dxa"/>
              <w:bottom w:w="90" w:type="dxa"/>
              <w:right w:w="90" w:type="dxa"/>
            </w:tcMar>
          </w:tcPr>
          <w:p>
            <w:pPr>
              <w:pStyle w:val="Tablebody"/>
            </w:pPr>
            <w:r/>
            <w:r>
              <w:rPr>
                <w:b/>
              </w:rPr>
              <w:t>Relevant finding, limitation and use in this project</w:t>
            </w:r>
          </w:p>
        </w:tc>
      </w:tr>
      <w:tr>
        <w:tc>
          <w:tcPr>
            <w:tcW w:type="dxa" w:w="2835"/>
            <w:vAlign w:val="top"/>
            <w:tcMar>
              <w:top w:w="90" w:type="dxa"/>
              <w:left w:w="90" w:type="dxa"/>
              <w:bottom w:w="90" w:type="dxa"/>
              <w:right w:w="90" w:type="dxa"/>
            </w:tcMar>
          </w:tcPr>
          <w:p>
            <w:pPr>
              <w:pStyle w:val="Tablebody"/>
            </w:pPr>
            <w:r/>
            <w:r>
              <w:t>[8] Eliasson et al. (2023)</w:t>
              <w:br/>
              <w:t>Review; 23 early-childhood studies.</w:t>
            </w:r>
          </w:p>
        </w:tc>
        <w:tc>
          <w:tcPr>
            <w:tcW w:type="dxa" w:w="6520"/>
            <w:vAlign w:val="top"/>
            <w:tcMar>
              <w:top w:w="90" w:type="dxa"/>
              <w:left w:w="90" w:type="dxa"/>
              <w:bottom w:w="90" w:type="dxa"/>
              <w:right w:w="90" w:type="dxa"/>
            </w:tcMar>
          </w:tcPr>
          <w:p>
            <w:pPr>
              <w:pStyle w:val="Tablebody"/>
            </w:pPr>
            <w:r/>
            <w:r>
              <w:t>Technology education needs age-sensitive tasks and clear purposes. Broader field than online-safety apps.</w:t>
            </w:r>
          </w:p>
        </w:tc>
      </w:tr>
      <w:tr>
        <w:tc>
          <w:tcPr>
            <w:tcW w:type="dxa" w:w="2835"/>
            <w:vAlign w:val="top"/>
            <w:tcMar>
              <w:top w:w="90" w:type="dxa"/>
              <w:left w:w="90" w:type="dxa"/>
              <w:bottom w:w="90" w:type="dxa"/>
              <w:right w:w="90" w:type="dxa"/>
            </w:tcMar>
          </w:tcPr>
          <w:p>
            <w:pPr>
              <w:pStyle w:val="Tablebody"/>
            </w:pPr>
            <w:r/>
            <w:r>
              <w:t>[9] Wong et al. (2024)</w:t>
              <w:br/>
              <w:t>Randomised trial; 340 grades 4–6 pupils.</w:t>
            </w:r>
          </w:p>
        </w:tc>
        <w:tc>
          <w:tcPr>
            <w:tcW w:type="dxa" w:w="6520"/>
            <w:vAlign w:val="top"/>
            <w:tcMar>
              <w:top w:w="90" w:type="dxa"/>
              <w:left w:w="90" w:type="dxa"/>
              <w:bottom w:w="90" w:type="dxa"/>
              <w:right w:w="90" w:type="dxa"/>
            </w:tcMar>
          </w:tcPr>
          <w:p>
            <w:pPr>
              <w:pStyle w:val="Tablebody"/>
            </w:pPr>
            <w:r/>
            <w:r>
              <w:t>No significant average group advantage over booklet; dose associations are not causal. General child safety, not digital literacy.</w:t>
            </w:r>
          </w:p>
        </w:tc>
      </w:tr>
      <w:tr>
        <w:tc>
          <w:tcPr>
            <w:tcW w:type="dxa" w:w="2835"/>
            <w:vAlign w:val="top"/>
            <w:tcMar>
              <w:top w:w="90" w:type="dxa"/>
              <w:left w:w="90" w:type="dxa"/>
              <w:bottom w:w="90" w:type="dxa"/>
              <w:right w:w="90" w:type="dxa"/>
            </w:tcMar>
          </w:tcPr>
          <w:p>
            <w:pPr>
              <w:pStyle w:val="Tablebody"/>
            </w:pPr>
            <w:r/>
            <w:r>
              <w:t>[10] Alderman et al. (2024)</w:t>
              <w:br/>
              <w:t>Cluster RCT; n = 1,954.</w:t>
            </w:r>
          </w:p>
        </w:tc>
        <w:tc>
          <w:tcPr>
            <w:tcW w:type="dxa" w:w="6520"/>
            <w:vAlign w:val="top"/>
            <w:tcMar>
              <w:top w:w="90" w:type="dxa"/>
              <w:left w:w="90" w:type="dxa"/>
              <w:bottom w:w="90" w:type="dxa"/>
              <w:right w:w="90" w:type="dxa"/>
            </w:tcMar>
          </w:tcPr>
          <w:p>
            <w:pPr>
              <w:pStyle w:val="Tablebody"/>
            </w:pPr>
            <w:r/>
            <w:r>
              <w:t>Better online-safety knowledge, inconsistent effects on protective behaviour. Mostly older pupils; use to separate outcomes.</w:t>
            </w:r>
          </w:p>
        </w:tc>
      </w:tr>
      <w:tr>
        <w:tc>
          <w:tcPr>
            <w:tcW w:type="dxa" w:w="2835"/>
            <w:vAlign w:val="top"/>
            <w:tcMar>
              <w:top w:w="90" w:type="dxa"/>
              <w:left w:w="90" w:type="dxa"/>
              <w:bottom w:w="90" w:type="dxa"/>
              <w:right w:w="90" w:type="dxa"/>
            </w:tcMar>
          </w:tcPr>
          <w:p>
            <w:pPr>
              <w:pStyle w:val="Tablebody"/>
            </w:pPr>
            <w:r/>
            <w:r>
              <w:t>[11] Esfandiari et al. (2025)</w:t>
              <w:br/>
              <w:t>Scoping review; 34 studies.</w:t>
            </w:r>
          </w:p>
        </w:tc>
        <w:tc>
          <w:tcPr>
            <w:tcW w:type="dxa" w:w="6520"/>
            <w:vAlign w:val="top"/>
            <w:tcMar>
              <w:top w:w="90" w:type="dxa"/>
              <w:left w:w="90" w:type="dxa"/>
              <w:bottom w:w="90" w:type="dxa"/>
              <w:right w:w="90" w:type="dxa"/>
            </w:tcMar>
          </w:tcPr>
          <w:p>
            <w:pPr>
              <w:pStyle w:val="Tablebody"/>
            </w:pPr>
            <w:r/>
            <w:r>
              <w:t>Games common in safety education; many samples aged 11–14. Maps the field but does not estimate effects for 6–10-year-olds.</w:t>
            </w:r>
          </w:p>
        </w:tc>
      </w:tr>
      <w:tr>
        <w:tc>
          <w:tcPr>
            <w:tcW w:type="dxa" w:w="2835"/>
            <w:vAlign w:val="top"/>
            <w:tcMar>
              <w:top w:w="90" w:type="dxa"/>
              <w:left w:w="90" w:type="dxa"/>
              <w:bottom w:w="90" w:type="dxa"/>
              <w:right w:w="90" w:type="dxa"/>
            </w:tcMar>
          </w:tcPr>
          <w:p>
            <w:pPr>
              <w:pStyle w:val="Tablebody"/>
            </w:pPr>
            <w:r/>
            <w:r>
              <w:t>[12] Quayyum &amp; Jaccheri (2025)</w:t>
              <w:br/>
              <w:t>Usability studies; 4 and 11 family dyads.</w:t>
            </w:r>
          </w:p>
        </w:tc>
        <w:tc>
          <w:tcPr>
            <w:tcW w:type="dxa" w:w="6520"/>
            <w:vAlign w:val="top"/>
            <w:tcMar>
              <w:top w:w="90" w:type="dxa"/>
              <w:left w:w="90" w:type="dxa"/>
              <w:bottom w:w="90" w:type="dxa"/>
              <w:right w:w="90" w:type="dxa"/>
            </w:tcMar>
          </w:tcPr>
          <w:p>
            <w:pPr>
              <w:pStyle w:val="Tablebody"/>
            </w:pPr>
            <w:r/>
            <w:r>
              <w:t>Family interaction may support safety conversations. Small studies, not proof of long-term learning.</w:t>
            </w:r>
          </w:p>
        </w:tc>
      </w:tr>
      <w:tr>
        <w:tc>
          <w:tcPr>
            <w:tcW w:type="dxa" w:w="2835"/>
            <w:vAlign w:val="top"/>
            <w:tcMar>
              <w:top w:w="90" w:type="dxa"/>
              <w:left w:w="90" w:type="dxa"/>
              <w:bottom w:w="90" w:type="dxa"/>
              <w:right w:w="90" w:type="dxa"/>
            </w:tcMar>
          </w:tcPr>
          <w:p>
            <w:pPr>
              <w:pStyle w:val="Tablebody"/>
            </w:pPr>
            <w:r/>
            <w:r>
              <w:t>[13] Cowling et al. (2025)</w:t>
              <w:br/>
              <w:t>Review; 24 articles, ages 10–13.</w:t>
            </w:r>
          </w:p>
        </w:tc>
        <w:tc>
          <w:tcPr>
            <w:tcW w:type="dxa" w:w="6520"/>
            <w:vAlign w:val="top"/>
            <w:tcMar>
              <w:top w:w="90" w:type="dxa"/>
              <w:left w:w="90" w:type="dxa"/>
              <w:bottom w:w="90" w:type="dxa"/>
              <w:right w:w="90" w:type="dxa"/>
            </w:tcMar>
          </w:tcPr>
          <w:p>
            <w:pPr>
              <w:pStyle w:val="Tablebody"/>
            </w:pPr>
            <w:r/>
            <w:r>
              <w:t>Digital literacy connects to habits and wellbeing. The age and context are only partly transferable to our users.</w:t>
            </w:r>
          </w:p>
        </w:tc>
      </w:tr>
      <w:tr>
        <w:tc>
          <w:tcPr>
            <w:tcW w:type="dxa" w:w="2835"/>
            <w:vAlign w:val="top"/>
            <w:tcMar>
              <w:top w:w="90" w:type="dxa"/>
              <w:left w:w="90" w:type="dxa"/>
              <w:bottom w:w="90" w:type="dxa"/>
              <w:right w:w="90" w:type="dxa"/>
            </w:tcMar>
          </w:tcPr>
          <w:p>
            <w:pPr>
              <w:pStyle w:val="Tablebody"/>
            </w:pPr>
            <w:r/>
            <w:r>
              <w:t>[14] Henriksen-Bulmer et al. (2024)</w:t>
              <w:br/>
              <w:t>Game case study; 27 participants aged 18–25.</w:t>
            </w:r>
          </w:p>
        </w:tc>
        <w:tc>
          <w:tcPr>
            <w:tcW w:type="dxa" w:w="6520"/>
            <w:vAlign w:val="top"/>
            <w:tcMar>
              <w:top w:w="90" w:type="dxa"/>
              <w:left w:w="90" w:type="dxa"/>
              <w:bottom w:w="90" w:type="dxa"/>
              <w:right w:w="90" w:type="dxa"/>
            </w:tcMar>
          </w:tcPr>
          <w:p>
            <w:pPr>
              <w:pStyle w:val="Tablebody"/>
            </w:pPr>
            <w:r/>
            <w:r>
              <w:t>Concrete privacy scenarios can start discussion. Board-game format and adult participants sharply limit direct applicability.</w:t>
            </w:r>
          </w:p>
        </w:tc>
      </w:tr>
    </w:tbl>
    <w:p>
      <w:pPr>
        <w:spacing w:after="20"/>
      </w:pPr>
    </w:p>
    <w:p>
      <w:pPr>
        <w:pStyle w:val="Plainheading"/>
        <w:jc w:val="left"/>
      </w:pPr>
      <w:r>
        <w:t>Design decisions suggested by the literature</w:t>
      </w:r>
    </w:p>
    <w:p>
      <w:pPr>
        <w:jc w:val="both"/>
      </w:pPr>
      <w:r>
        <w:t>First, the application should cover several connected parts of digital literacy: basic device actions, personal-data protection, suspicious links and simple source checking. Focusing only on internet danger would ignore the broader operational and information skills described in [1], [3], [8] and [13]. The proposed three starting lessons correspond to the DLM-10 requirements, but the educational content will need to be checked for age and factual accuracy by the team.</w:t>
      </w:r>
    </w:p>
    <w:p>
      <w:pPr>
        <w:jc w:val="both"/>
      </w:pPr>
      <w:r>
        <w:t>Second, practice should involve a decision and an explanation. For example, a child selecting “do not share the address” should receive a brief reason, and a child choosing an unsafe action should be allowed to reconsider. This draws on game-design findings [1], teachers’ priorities [2] and the cautious evidence for engagement [4–7]. An optional hint is preferable to a compulsory explanation before every action, because children should be able to try a task on their own.</w:t>
      </w:r>
    </w:p>
    <w:p>
      <w:pPr>
        <w:jc w:val="both"/>
      </w:pPr>
      <w:r>
        <w:t>Third, the app should avoid competitive or time-pressured mechanics in the first version. One badge for finishing a lesson is acceptable as a small acknowledgement, but a leaderboard, daily streak or forced countdown is not necessary to teach the planned skills. The research does not establish that such features would improve safety decisions for children aged 6–10. Privacy and ease of access matter more in this context [2], [12].</w:t>
      </w:r>
    </w:p>
    <w:p>
      <w:pPr>
        <w:jc w:val="both"/>
      </w:pPr>
      <w:r>
        <w:t>Fourth, a parent-facing dashboard is not part of the first planned release. The family-game evidence [12] suggests that adult discussion can be useful, but it does not make a dashboard compulsory. Likewise, findings from older pupils [10], [13] or young adults [14] should be presented as related evidence, not as direct validation of younger children’s learning.</w:t>
      </w:r>
    </w:p>
    <w:p>
      <w:pPr>
        <w:pStyle w:val="Plainheading"/>
        <w:jc w:val="left"/>
      </w:pPr>
      <w:r>
        <w:t>Limitations of the evidence and evaluation plan</w:t>
      </w:r>
    </w:p>
    <w:p>
      <w:pPr>
        <w:jc w:val="both"/>
      </w:pPr>
      <w:r>
        <w:t>The evidence base is uneven in three ways. Many studies concern older learners rather than six- to eight-year-olds. Reviews often combine different subjects and reward designs, which makes their overall conclusions difficult to apply to one particular app. Finally, studies often measure interest, task completion or knowledge immediately after an intervention; comparatively fewer examine whether children behave more safely later [4], [5], [9–11]. None of the reviewed publications tested the proposed Flutter application, its Russian-language content or its planned progression model.</w:t>
      </w:r>
    </w:p>
    <w:p>
      <w:pPr>
        <w:jc w:val="both"/>
      </w:pPr>
      <w:r>
        <w:t>The team should therefore evaluate a small working version rather than claim educational effectiveness during the first pre-defense. An initial pilot can observe whether children can select a lesson, understand a question, find the hint, recover from an incorrect answer and return to the progress screen. With appropriate adult consent, the team can compare a brief set of safety-scenario answers before and after use, record completion and errors, and ask what the child found confusing. A short paper-based set of the same scenarios would provide a baseline, although small samples would not support broad causal claims. Any later claim about knowledge retention would require another measurement after a delay.</w:t>
      </w:r>
    </w:p>
    <w:p>
      <w:pPr>
        <w:jc w:val="both"/>
      </w:pPr>
      <w:r>
        <w:t>The present literature supports a cautious design choice: provide short interactive learning opportunities that children can understand and repeat, and measure whether these opportunities help. It does not justify saying that a game will be better than ordinary instruction before comparative testing.</w:t>
      </w:r>
    </w:p>
    <w:p>
      <w:pPr>
        <w:pStyle w:val="Plainheading"/>
        <w:keepNext/>
        <w:jc w:val="left"/>
      </w:pPr>
      <w:r>
        <w:t>References and free full-text access</w:t>
      </w:r>
    </w:p>
    <w:p>
      <w:pPr>
        <w:keepLines/>
        <w:jc w:val="both"/>
      </w:pPr>
      <w:r>
        <w:t>All fourteen entries below are scientific journal publications (2023–2025). The links lead to open publisher pages or institutional copies of the full text. “Scholar search” is supplied as an additional way to locate the bibliographic record; a search link alone is not a verification of Scopus indexing.</w:t>
      </w:r>
    </w:p>
    <w:p>
      <w:pPr>
        <w:keepLines/>
        <w:spacing w:after="100" w:line="288" w:lineRule="auto"/>
        <w:ind w:firstLine="0" w:left="0"/>
        <w:jc w:val="left"/>
      </w:pPr>
      <w:r>
        <w:t xml:space="preserve">[1] De La Hera, T., Cañete Sanz, L., Navarro Sierra, N., Jansz, J., Kneer, J., Glas, R., &amp; van Vught, J. (2024). Digital literacy games: a systematic literature review. Frontiers in Communication, 9, 1407532. </w:t>
      </w:r>
      <w:r>
        <w:t xml:space="preserve">DOI: 10.3389/fcomm.2024.1407532. </w:t>
      </w:r>
      <w:hyperlink r:id="rId9">
        <w:r>
          <w:rPr>
            <w:color w:val="000000"/>
            <w:u w:val="single"/>
            <w:rFonts w:ascii="Times New Roman" w:hAnsi="Times New Roman"/>
          </w:rPr>
          <w:t>Open full text</w:t>
        </w:r>
      </w:hyperlink>
      <w:r>
        <w:t xml:space="preserve"> | </w:t>
      </w:r>
      <w:hyperlink r:id="rId10">
        <w:r>
          <w:rPr>
            <w:color w:val="000000"/>
            <w:u w:val="single"/>
            <w:rFonts w:ascii="Times New Roman" w:hAnsi="Times New Roman"/>
          </w:rPr>
          <w:t>Google Scholar search</w:t>
        </w:r>
      </w:hyperlink>
    </w:p>
    <w:p>
      <w:pPr>
        <w:keepLines/>
        <w:spacing w:after="100" w:line="288" w:lineRule="auto"/>
        <w:ind w:firstLine="0" w:left="0"/>
        <w:jc w:val="left"/>
      </w:pPr>
      <w:r>
        <w:t xml:space="preserve">[2] Vázquez-Cano, E., Quicios-García, M.-P., Fombona, J., &amp; Rodríguez-Arce, J. (2023). Latent factors on the design and adoption of gamified apps in primary education. Education and Information Technologies, 28, 15093–15123. </w:t>
      </w:r>
      <w:r>
        <w:t xml:space="preserve">DOI: 10.1007/s10639-023-11797-3. </w:t>
      </w:r>
      <w:hyperlink r:id="rId11">
        <w:r>
          <w:rPr>
            <w:color w:val="000000"/>
            <w:u w:val="single"/>
            <w:rFonts w:ascii="Times New Roman" w:hAnsi="Times New Roman"/>
          </w:rPr>
          <w:t>Open full text</w:t>
        </w:r>
      </w:hyperlink>
      <w:r>
        <w:t xml:space="preserve"> | </w:t>
      </w:r>
      <w:hyperlink r:id="rId12">
        <w:r>
          <w:rPr>
            <w:color w:val="000000"/>
            <w:u w:val="single"/>
            <w:rFonts w:ascii="Times New Roman" w:hAnsi="Times New Roman"/>
          </w:rPr>
          <w:t>Google Scholar search</w:t>
        </w:r>
      </w:hyperlink>
    </w:p>
    <w:p>
      <w:pPr>
        <w:keepLines/>
        <w:spacing w:after="100" w:line="288" w:lineRule="auto"/>
        <w:ind w:firstLine="0" w:left="0"/>
        <w:jc w:val="left"/>
      </w:pPr>
      <w:r>
        <w:t xml:space="preserve">[3] Falloon, G. (2024). An exploration of online technoliteracy capability teaching and learning in early years classrooms. Education and Information Technologies, 29, 625–654. </w:t>
      </w:r>
      <w:r>
        <w:t xml:space="preserve">DOI: 10.1007/s10639-023-12239-w. </w:t>
      </w:r>
      <w:hyperlink r:id="rId13">
        <w:r>
          <w:rPr>
            <w:color w:val="000000"/>
            <w:u w:val="single"/>
            <w:rFonts w:ascii="Times New Roman" w:hAnsi="Times New Roman"/>
          </w:rPr>
          <w:t>Open full text</w:t>
        </w:r>
      </w:hyperlink>
      <w:r>
        <w:t xml:space="preserve"> | </w:t>
      </w:r>
      <w:hyperlink r:id="rId14">
        <w:r>
          <w:rPr>
            <w:color w:val="000000"/>
            <w:u w:val="single"/>
            <w:rFonts w:ascii="Times New Roman" w:hAnsi="Times New Roman"/>
          </w:rPr>
          <w:t>Google Scholar search</w:t>
        </w:r>
      </w:hyperlink>
    </w:p>
    <w:p>
      <w:pPr>
        <w:keepLines/>
        <w:spacing w:after="100" w:line="288" w:lineRule="auto"/>
        <w:ind w:firstLine="0" w:left="0"/>
        <w:jc w:val="left"/>
      </w:pPr>
      <w:r>
        <w:t xml:space="preserve">[4] Romero-Rodríguez, J.-M., Martínez-Menéndez, A., Alonso-García, S., &amp; Victoria-Maldonado, J.-J. (2024). The reality of the gamification methodology in primary education: A systematic review. International Journal of Educational Research, 128, 102481. </w:t>
      </w:r>
      <w:r>
        <w:t xml:space="preserve">DOI: 10.1016/j.ijer.2024.102481. </w:t>
      </w:r>
      <w:hyperlink r:id="rId15">
        <w:r>
          <w:rPr>
            <w:color w:val="000000"/>
            <w:u w:val="single"/>
            <w:rFonts w:ascii="Times New Roman" w:hAnsi="Times New Roman"/>
          </w:rPr>
          <w:t>Open full text</w:t>
        </w:r>
      </w:hyperlink>
      <w:r>
        <w:t xml:space="preserve"> | </w:t>
      </w:r>
      <w:hyperlink r:id="rId16">
        <w:r>
          <w:rPr>
            <w:color w:val="000000"/>
            <w:u w:val="single"/>
            <w:rFonts w:ascii="Times New Roman" w:hAnsi="Times New Roman"/>
          </w:rPr>
          <w:t>Google Scholar search</w:t>
        </w:r>
      </w:hyperlink>
    </w:p>
    <w:p>
      <w:pPr>
        <w:keepLines/>
        <w:spacing w:after="100" w:line="288" w:lineRule="auto"/>
        <w:ind w:firstLine="0" w:left="0"/>
        <w:jc w:val="left"/>
      </w:pPr>
      <w:r>
        <w:t xml:space="preserve">[5] Li, L., Hew, K. F., &amp; Du, J. (2024). Gamification enhances student intrinsic motivation, perceptions of autonomy and relatedness, but minimal impact on competency: A meta-analysis and systematic review. Educational Technology Research and Development, 72, 765–796. </w:t>
      </w:r>
      <w:r>
        <w:t xml:space="preserve">DOI: 10.1007/s11423-023-10337-7. </w:t>
      </w:r>
      <w:hyperlink r:id="rId17">
        <w:r>
          <w:rPr>
            <w:color w:val="000000"/>
            <w:u w:val="single"/>
            <w:rFonts w:ascii="Times New Roman" w:hAnsi="Times New Roman"/>
          </w:rPr>
          <w:t>Open full text</w:t>
        </w:r>
      </w:hyperlink>
      <w:r>
        <w:t xml:space="preserve"> | </w:t>
      </w:r>
      <w:hyperlink r:id="rId18">
        <w:r>
          <w:rPr>
            <w:color w:val="000000"/>
            <w:u w:val="single"/>
            <w:rFonts w:ascii="Times New Roman" w:hAnsi="Times New Roman"/>
          </w:rPr>
          <w:t>Google Scholar search</w:t>
        </w:r>
      </w:hyperlink>
    </w:p>
    <w:p>
      <w:pPr>
        <w:keepLines/>
        <w:spacing w:after="100" w:line="288" w:lineRule="auto"/>
        <w:ind w:firstLine="0" w:left="0"/>
        <w:jc w:val="left"/>
      </w:pPr>
      <w:r>
        <w:t xml:space="preserve">[6] Ramírez Ruiz, J. J., Vargas Sanchez, A. D., &amp; Boude Figueredo, O. R. (2024). Impact of gamification on school engagement: A systematic review. Frontiers in Education, 9, 1466926. </w:t>
      </w:r>
      <w:r>
        <w:t xml:space="preserve">DOI: 10.3389/feduc.2024.1466926. </w:t>
      </w:r>
      <w:hyperlink r:id="rId19">
        <w:r>
          <w:rPr>
            <w:color w:val="000000"/>
            <w:u w:val="single"/>
            <w:rFonts w:ascii="Times New Roman" w:hAnsi="Times New Roman"/>
          </w:rPr>
          <w:t>Open full text</w:t>
        </w:r>
      </w:hyperlink>
      <w:r>
        <w:t xml:space="preserve"> | </w:t>
      </w:r>
      <w:hyperlink r:id="rId20">
        <w:r>
          <w:rPr>
            <w:color w:val="000000"/>
            <w:u w:val="single"/>
            <w:rFonts w:ascii="Times New Roman" w:hAnsi="Times New Roman"/>
          </w:rPr>
          <w:t>Google Scholar search</w:t>
        </w:r>
      </w:hyperlink>
    </w:p>
    <w:p>
      <w:pPr>
        <w:keepLines/>
        <w:spacing w:after="100" w:line="288" w:lineRule="auto"/>
        <w:ind w:firstLine="0" w:left="0"/>
        <w:jc w:val="left"/>
      </w:pPr>
      <w:r>
        <w:t xml:space="preserve">[7] Yusri, A. A., &amp; Zainal, M. Z. (2025). Unleashing gamification: a systematic review in primary schools. Journal of Education and Learning (EduLearn), 19(4), 2313–2321. </w:t>
      </w:r>
      <w:r>
        <w:t xml:space="preserve">DOI: 10.11591/edulearn.v19i4.22009. </w:t>
      </w:r>
      <w:hyperlink r:id="rId21">
        <w:r>
          <w:rPr>
            <w:color w:val="000000"/>
            <w:u w:val="single"/>
            <w:rFonts w:ascii="Times New Roman" w:hAnsi="Times New Roman"/>
          </w:rPr>
          <w:t>Open full text</w:t>
        </w:r>
      </w:hyperlink>
      <w:r>
        <w:t xml:space="preserve"> | </w:t>
      </w:r>
      <w:hyperlink r:id="rId22">
        <w:r>
          <w:rPr>
            <w:color w:val="000000"/>
            <w:u w:val="single"/>
            <w:rFonts w:ascii="Times New Roman" w:hAnsi="Times New Roman"/>
          </w:rPr>
          <w:t>Google Scholar search</w:t>
        </w:r>
      </w:hyperlink>
    </w:p>
    <w:p>
      <w:pPr>
        <w:keepLines/>
        <w:spacing w:after="100" w:line="288" w:lineRule="auto"/>
        <w:ind w:firstLine="0" w:left="0"/>
        <w:jc w:val="left"/>
      </w:pPr>
      <w:r>
        <w:t xml:space="preserve">[8] Eliasson, S., Peterson, L., &amp; Lantz-Andersson, A. (2023). A systematic literature review of empirical research on technology education in early childhood education. International Journal of Technology and Design Education, 33, 793–818. </w:t>
      </w:r>
      <w:r>
        <w:t xml:space="preserve">DOI: 10.1007/s10798-022-09764-z. </w:t>
      </w:r>
      <w:hyperlink r:id="rId23">
        <w:r>
          <w:rPr>
            <w:color w:val="000000"/>
            <w:u w:val="single"/>
            <w:rFonts w:ascii="Times New Roman" w:hAnsi="Times New Roman"/>
          </w:rPr>
          <w:t>Open full text</w:t>
        </w:r>
      </w:hyperlink>
      <w:r>
        <w:t xml:space="preserve"> | </w:t>
      </w:r>
      <w:hyperlink r:id="rId24">
        <w:r>
          <w:rPr>
            <w:color w:val="000000"/>
            <w:u w:val="single"/>
            <w:rFonts w:ascii="Times New Roman" w:hAnsi="Times New Roman"/>
          </w:rPr>
          <w:t>Google Scholar search</w:t>
        </w:r>
      </w:hyperlink>
    </w:p>
    <w:p>
      <w:pPr>
        <w:keepLines/>
        <w:spacing w:after="100" w:line="288" w:lineRule="auto"/>
        <w:ind w:firstLine="0" w:left="0"/>
        <w:jc w:val="left"/>
      </w:pPr>
      <w:r>
        <w:t xml:space="preserve">[9] Wong, R. S., Tung, K. T. S., Ho, F. K. W., Wong, W. H. S., Chow, C. B., Chan, K. L., Fu, K. W., &amp; Ip, P. (2024). Effect of a mobile game-based intervention to enhance child safety: Randomized controlled trial. Journal of Medical Internet Research, 26, e51908. </w:t>
      </w:r>
      <w:r>
        <w:t xml:space="preserve">DOI: 10.2196/51908. </w:t>
      </w:r>
      <w:hyperlink r:id="rId25">
        <w:r>
          <w:rPr>
            <w:color w:val="000000"/>
            <w:u w:val="single"/>
            <w:rFonts w:ascii="Times New Roman" w:hAnsi="Times New Roman"/>
          </w:rPr>
          <w:t>Open full text</w:t>
        </w:r>
      </w:hyperlink>
      <w:r>
        <w:t xml:space="preserve"> | </w:t>
      </w:r>
      <w:hyperlink r:id="rId26">
        <w:r>
          <w:rPr>
            <w:color w:val="000000"/>
            <w:u w:val="single"/>
            <w:rFonts w:ascii="Times New Roman" w:hAnsi="Times New Roman"/>
          </w:rPr>
          <w:t>Google Scholar search</w:t>
        </w:r>
      </w:hyperlink>
    </w:p>
    <w:p>
      <w:pPr>
        <w:keepLines/>
        <w:spacing w:after="100" w:line="288" w:lineRule="auto"/>
        <w:ind w:firstLine="0" w:left="0"/>
        <w:jc w:val="left"/>
      </w:pPr>
      <w:r>
        <w:t xml:space="preserve">[10] Alderman, T., Ariel, B., &amp; Harinam, V. (2024). Can a police-delivered intervention improve children’s online safety? A cluster randomised controlled trial on the effect of the ThinkUKnow programme in primary and secondary Australian schools. Journal of Experimental Criminology, 20, 617–634. </w:t>
      </w:r>
      <w:r>
        <w:t xml:space="preserve">DOI: 10.1007/s11292-023-09551-3. </w:t>
      </w:r>
      <w:hyperlink r:id="rId27">
        <w:r>
          <w:rPr>
            <w:color w:val="000000"/>
            <w:u w:val="single"/>
            <w:rFonts w:ascii="Times New Roman" w:hAnsi="Times New Roman"/>
          </w:rPr>
          <w:t>Open full text</w:t>
        </w:r>
      </w:hyperlink>
      <w:r>
        <w:t xml:space="preserve"> | </w:t>
      </w:r>
      <w:hyperlink r:id="rId28">
        <w:r>
          <w:rPr>
            <w:color w:val="000000"/>
            <w:u w:val="single"/>
            <w:rFonts w:ascii="Times New Roman" w:hAnsi="Times New Roman"/>
          </w:rPr>
          <w:t>Google Scholar search</w:t>
        </w:r>
      </w:hyperlink>
    </w:p>
    <w:p>
      <w:pPr>
        <w:keepLines/>
        <w:spacing w:after="100" w:line="288" w:lineRule="auto"/>
        <w:ind w:firstLine="0" w:left="0"/>
        <w:jc w:val="left"/>
      </w:pPr>
      <w:r>
        <w:t xml:space="preserve">[11] Esfandiari, M., Sciacca, B., Feijóo, S., Laffan, D. A., Milosevic, T., O’Toole, C., &amp; O’Higgins Norman, J. (2025). Trends in digital technologies to address children’s online safety education: A systematic scoping review. International Journal of Educational Research Open, 9, 100462. </w:t>
      </w:r>
      <w:r>
        <w:t xml:space="preserve">DOI: 10.1016/j.ijedro.2025.100462. </w:t>
      </w:r>
      <w:hyperlink r:id="rId29">
        <w:r>
          <w:rPr>
            <w:color w:val="000000"/>
            <w:u w:val="single"/>
            <w:rFonts w:ascii="Times New Roman" w:hAnsi="Times New Roman"/>
          </w:rPr>
          <w:t>Open full text</w:t>
        </w:r>
      </w:hyperlink>
      <w:r>
        <w:t xml:space="preserve"> | </w:t>
      </w:r>
      <w:hyperlink r:id="rId30">
        <w:r>
          <w:rPr>
            <w:color w:val="000000"/>
            <w:u w:val="single"/>
            <w:rFonts w:ascii="Times New Roman" w:hAnsi="Times New Roman"/>
          </w:rPr>
          <w:t>Google Scholar search</w:t>
        </w:r>
      </w:hyperlink>
    </w:p>
    <w:p>
      <w:pPr>
        <w:keepLines/>
        <w:spacing w:after="100" w:line="288" w:lineRule="auto"/>
        <w:ind w:firstLine="0" w:left="0"/>
        <w:jc w:val="left"/>
      </w:pPr>
      <w:r>
        <w:t xml:space="preserve">[12] Quayyum, F., &amp; Jaccheri, L. (2025). CyberFamily: A collaborative family game to increase children’s cybersecurity awareness. Entertainment Computing, 52, 100826. </w:t>
      </w:r>
      <w:r>
        <w:t xml:space="preserve">DOI: 10.1016/j.entcom.2024.100826. </w:t>
      </w:r>
      <w:hyperlink r:id="rId31">
        <w:r>
          <w:rPr>
            <w:color w:val="000000"/>
            <w:u w:val="single"/>
            <w:rFonts w:ascii="Times New Roman" w:hAnsi="Times New Roman"/>
          </w:rPr>
          <w:t>Open full text</w:t>
        </w:r>
      </w:hyperlink>
      <w:r>
        <w:t xml:space="preserve"> | </w:t>
      </w:r>
      <w:hyperlink r:id="rId32">
        <w:r>
          <w:rPr>
            <w:color w:val="000000"/>
            <w:u w:val="single"/>
            <w:rFonts w:ascii="Times New Roman" w:hAnsi="Times New Roman"/>
          </w:rPr>
          <w:t>Google Scholar search</w:t>
        </w:r>
      </w:hyperlink>
    </w:p>
    <w:p>
      <w:pPr>
        <w:keepLines/>
        <w:spacing w:after="100" w:line="288" w:lineRule="auto"/>
        <w:ind w:firstLine="0" w:left="0"/>
        <w:jc w:val="left"/>
      </w:pPr>
      <w:r>
        <w:t xml:space="preserve">[13] Cowling, M., Sim, K. N., Orlando, J., &amp; Hamra, J. (2025). Untangling digital safety, literacy, and wellbeing in school activities for 10 to 13 year old students. Education and Information Technologies, 30, 941–958. </w:t>
      </w:r>
      <w:r>
        <w:t xml:space="preserve">DOI: 10.1007/s10639-024-13183-z. </w:t>
      </w:r>
      <w:hyperlink r:id="rId33">
        <w:r>
          <w:rPr>
            <w:color w:val="000000"/>
            <w:u w:val="single"/>
            <w:rFonts w:ascii="Times New Roman" w:hAnsi="Times New Roman"/>
          </w:rPr>
          <w:t>Open full text</w:t>
        </w:r>
      </w:hyperlink>
      <w:r>
        <w:t xml:space="preserve"> | </w:t>
      </w:r>
      <w:hyperlink r:id="rId34">
        <w:r>
          <w:rPr>
            <w:color w:val="000000"/>
            <w:u w:val="single"/>
            <w:rFonts w:ascii="Times New Roman" w:hAnsi="Times New Roman"/>
          </w:rPr>
          <w:t>Google Scholar search</w:t>
        </w:r>
      </w:hyperlink>
    </w:p>
    <w:p>
      <w:pPr>
        <w:keepLines/>
        <w:spacing w:after="100" w:line="288" w:lineRule="auto"/>
        <w:ind w:firstLine="0" w:left="0"/>
        <w:jc w:val="left"/>
      </w:pPr>
      <w:r>
        <w:t xml:space="preserve">[14] Henriksen-Bulmer, J., Rosenorn-Lanng, E., Corbin-Clarke, S., Ware, S., Melacca, D., &amp; Fenge, L.-A. (2024). Using game-based learning to teach young people about privacy and online safety. Interactive Learning Environments, 32(10), 6430–6450. </w:t>
      </w:r>
      <w:r>
        <w:t xml:space="preserve">DOI: 10.1080/10494820.2023.2265424. </w:t>
      </w:r>
      <w:hyperlink r:id="rId35">
        <w:r>
          <w:rPr>
            <w:color w:val="000000"/>
            <w:u w:val="single"/>
            <w:rFonts w:ascii="Times New Roman" w:hAnsi="Times New Roman"/>
          </w:rPr>
          <w:t>Open full text</w:t>
        </w:r>
      </w:hyperlink>
      <w:r>
        <w:t xml:space="preserve"> | </w:t>
      </w:r>
      <w:hyperlink r:id="rId36">
        <w:r>
          <w:rPr>
            <w:color w:val="000000"/>
            <w:u w:val="single"/>
            <w:rFonts w:ascii="Times New Roman" w:hAnsi="Times New Roman"/>
          </w:rPr>
          <w:t>Google Scholar search</w:t>
        </w:r>
      </w:hyperlink>
    </w:p>
    <w:sectPr w:rsidR="00FC693F" w:rsidRPr="0006063C" w:rsidSect="00034616">
      <w:footerReference w:type="default" r:id="rId37"/>
      <w:pgSz w:w="11906" w:h="16838"/>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heading">
    <w:name w:val="Plain heading"/>
    <w:basedOn w:val="Normal"/>
    <w:pPr>
      <w:spacing w:before="160" w:after="100"/>
      <w:ind w:firstLine="0"/>
    </w:pPr>
    <w:rPr>
      <w:rFonts w:ascii="Times New Roman" w:hAnsi="Times New Roman"/>
      <w:b/>
      <w:sz w:val="28"/>
    </w:rPr>
  </w:style>
  <w:style w:type="paragraph" w:customStyle="1" w:styleId="Tablebody">
    <w:name w:val="Table body"/>
    <w:pPr>
      <w:spacing w:line="269" w:lineRule="auto" w:after="0"/>
      <w:ind w:firstLine="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ontiersin.org/journals/communication/articles/10.3389/fcomm.2024.1407532/full" TargetMode="External"/><Relationship Id="rId10" Type="http://schemas.openxmlformats.org/officeDocument/2006/relationships/hyperlink" Target="https://scholar.google.com/scholar?q=10.3389/fcomm.2024.1407532" TargetMode="External"/><Relationship Id="rId11" Type="http://schemas.openxmlformats.org/officeDocument/2006/relationships/hyperlink" Target="https://link.springer.com/article/10.1007/s10639-023-11797-3" TargetMode="External"/><Relationship Id="rId12" Type="http://schemas.openxmlformats.org/officeDocument/2006/relationships/hyperlink" Target="https://scholar.google.com/scholar?q=10.1007/s10639-023-11797-3" TargetMode="External"/><Relationship Id="rId13" Type="http://schemas.openxmlformats.org/officeDocument/2006/relationships/hyperlink" Target="https://link.springer.com/article/10.1007/s10639-023-12239-w" TargetMode="External"/><Relationship Id="rId14" Type="http://schemas.openxmlformats.org/officeDocument/2006/relationships/hyperlink" Target="https://scholar.google.com/scholar?q=10.1007/s10639-023-12239-w" TargetMode="External"/><Relationship Id="rId15" Type="http://schemas.openxmlformats.org/officeDocument/2006/relationships/hyperlink" Target="https://digibug.ugr.es/handle/10481/96580" TargetMode="External"/><Relationship Id="rId16" Type="http://schemas.openxmlformats.org/officeDocument/2006/relationships/hyperlink" Target="https://scholar.google.com/scholar?q=10.1016/j.ijer.2024.102481" TargetMode="External"/><Relationship Id="rId17" Type="http://schemas.openxmlformats.org/officeDocument/2006/relationships/hyperlink" Target="https://link.springer.com/article/10.1007/s11423-023-10337-7" TargetMode="External"/><Relationship Id="rId18" Type="http://schemas.openxmlformats.org/officeDocument/2006/relationships/hyperlink" Target="https://scholar.google.com/scholar?q=10.1007/s11423-023-10337-7" TargetMode="External"/><Relationship Id="rId19" Type="http://schemas.openxmlformats.org/officeDocument/2006/relationships/hyperlink" Target="https://www.frontiersin.org/journals/education/articles/10.3389/feduc.2024.1466926/full" TargetMode="External"/><Relationship Id="rId20" Type="http://schemas.openxmlformats.org/officeDocument/2006/relationships/hyperlink" Target="https://scholar.google.com/scholar?q=10.3389/feduc.2024.1466926" TargetMode="External"/><Relationship Id="rId21" Type="http://schemas.openxmlformats.org/officeDocument/2006/relationships/hyperlink" Target="https://edulearn.intelektual.org/index.php/EduLearn/article/view/22009" TargetMode="External"/><Relationship Id="rId22" Type="http://schemas.openxmlformats.org/officeDocument/2006/relationships/hyperlink" Target="https://scholar.google.com/scholar?q=10.11591/edulearn.v19i4.22009" TargetMode="External"/><Relationship Id="rId23" Type="http://schemas.openxmlformats.org/officeDocument/2006/relationships/hyperlink" Target="https://link.springer.com/article/10.1007/s10798-022-09764-z" TargetMode="External"/><Relationship Id="rId24" Type="http://schemas.openxmlformats.org/officeDocument/2006/relationships/hyperlink" Target="https://scholar.google.com/scholar?q=10.1007/s10798-022-09764-z" TargetMode="External"/><Relationship Id="rId25" Type="http://schemas.openxmlformats.org/officeDocument/2006/relationships/hyperlink" Target="https://www.jmir.org/2024/1/e51908/" TargetMode="External"/><Relationship Id="rId26" Type="http://schemas.openxmlformats.org/officeDocument/2006/relationships/hyperlink" Target="https://scholar.google.com/scholar?q=10.2196/51908" TargetMode="External"/><Relationship Id="rId27" Type="http://schemas.openxmlformats.org/officeDocument/2006/relationships/hyperlink" Target="https://link.springer.com/article/10.1007/s11292-023-09551-3" TargetMode="External"/><Relationship Id="rId28" Type="http://schemas.openxmlformats.org/officeDocument/2006/relationships/hyperlink" Target="https://scholar.google.com/scholar?q=10.1007/s11292-023-09551-3" TargetMode="External"/><Relationship Id="rId29" Type="http://schemas.openxmlformats.org/officeDocument/2006/relationships/hyperlink" Target="https://doras.dcu.ie/31704/1/Esfandiarietal.%2C2025.pdf" TargetMode="External"/><Relationship Id="rId30" Type="http://schemas.openxmlformats.org/officeDocument/2006/relationships/hyperlink" Target="https://scholar.google.com/scholar?q=10.1016/j.ijedro.2025.100462" TargetMode="External"/><Relationship Id="rId31" Type="http://schemas.openxmlformats.org/officeDocument/2006/relationships/hyperlink" Target="https://ntnuopen.ntnu.no/ntnu-xmlui/bitstream/handle/11250/3150711/CyberFamily.pdf?sequence=1" TargetMode="External"/><Relationship Id="rId32" Type="http://schemas.openxmlformats.org/officeDocument/2006/relationships/hyperlink" Target="https://scholar.google.com/scholar?q=10.1016/j.entcom.2024.100826" TargetMode="External"/><Relationship Id="rId33" Type="http://schemas.openxmlformats.org/officeDocument/2006/relationships/hyperlink" Target="https://link.springer.com/article/10.1007/s10639-024-13183-z" TargetMode="External"/><Relationship Id="rId34" Type="http://schemas.openxmlformats.org/officeDocument/2006/relationships/hyperlink" Target="https://scholar.google.com/scholar?q=10.1007/s10639-024-13183-z" TargetMode="External"/><Relationship Id="rId35" Type="http://schemas.openxmlformats.org/officeDocument/2006/relationships/hyperlink" Target="https://eprints.bournemouth.ac.uk/39045/" TargetMode="External"/><Relationship Id="rId36" Type="http://schemas.openxmlformats.org/officeDocument/2006/relationships/hyperlink" Target="https://scholar.google.com/scholar?q=10.1080/10494820.2023.2265424"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DLM-9 Literature Review</dc:title>
  <dc:subject>Digital literacy education for children aged 6–10</dc:subject>
  <dc:creator>Digital Literacy Mobile App project team</dc:creator>
  <cp:keywords>DLM-9; literature review; digital literacy; primary education</cp:keywords>
  <dc:description>generated by python-docx</dc:description>
  <cp:lastModifiedBy/>
  <cp:revision>1</cp:revision>
  <dcterms:created xsi:type="dcterms:W3CDTF">2013-12-23T23:15:00Z</dcterms:created>
  <dcterms:modified xsi:type="dcterms:W3CDTF">2013-12-23T23:15:00Z</dcterms:modified>
  <cp:category/>
</cp:coreProperties>
</file>