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5"/>
      </w:pPr>
      <w:r>
        <w:t>The following requirements describe the first working version of the mobile application for teaching basic digital literacy to children aged 6–10. The application is being designed as a set of short interactive lessons with simple tasks, hints, feedback and a progress view. The requirements are for the planned product; they should not be read as functions that have already been implemented.</w:t>
      </w:r>
    </w:p>
    <w:p>
      <w:pPr>
        <w:spacing w:after="100"/>
        <w:ind w:firstLine="425"/>
      </w:pPr>
      <w:r>
        <w:t>The team used its survey of adults involved in children’s learning as one source of input. The CSV export contains 23 responses. Twenty respondents completed the main questions; 14 of those responses concern children aged 6–10. The figures below refer only to these 14 responses. The sample is small and was not selected to represent all parents or children, so the answers guide the design rather than prove that every feature is needed.</w:t>
      </w:r>
    </w:p>
    <w:p>
      <w:pPr>
        <w:spacing w:after="100"/>
        <w:ind w:firstLine="425"/>
      </w:pPr>
      <w:r>
        <w:t>In this age group, internet safety and protection of personal information were selected by 9 of 14 respondents. Eight selected interactive games as a useful learning format, and seven selected short illustrated lessons. Seven preferred an explanation of a wrong answer with another attempt. Eight mentioned excessive screen time as a concern. Nine reported that the child mainly uses a smartphone or tablet. These results support a mobile, task-based format, but they do not determine all technical requirements.</w:t>
      </w:r>
    </w:p>
    <w:p>
      <w:pPr>
        <w:spacing w:after="100"/>
        <w:ind w:firstLine="425"/>
      </w:pPr>
      <w:r>
        <w:t>The survey did not produce one agreed lesson length: two respondents chose up to five minutes, two chose 5–10 minutes, one chose 10–15 minutes, four chose 15–20 minutes, two said it depends on the task, and three were unsure. For the first version, the team therefore proposes short, untimed lessons instead of a fixed study duration. This is a design decision to be checked during testing, not a conclusion that follows directly from the survey.</w:t>
      </w:r>
    </w:p>
    <w:p>
      <w:pPr>
        <w:keepNext/>
        <w:spacing w:after="100"/>
        <w:ind w:firstLine="0"/>
      </w:pPr>
      <w:r>
        <w:rPr>
          <w:b/>
        </w:rPr>
        <w:t>Functional requirements</w:t>
      </w:r>
    </w:p>
    <w:p>
      <w:pPr>
        <w:spacing w:after="100"/>
        <w:ind w:firstLine="425"/>
      </w:pPr>
      <w:r>
        <w:t>A “Must” requirement is necessary for the first usable version. “Should” items are planned if the core learning flow works reliably. “Could” items are options for a later iteration. Each requirement has a testable condition; no requirement is considered complete simply because a screen has been drawn.</w:t>
      </w:r>
    </w:p>
    <w:tbl>
      <w:tblPr>
        <w:tblStyle w:val="TableGrid"/>
        <w:tblW w:type="auto" w:w="0"/>
        <w:jc w:val="center"/>
        <w:tblLayout w:type="fixed"/>
        <w:tblLook w:firstColumn="1" w:firstRow="1" w:lastColumn="0" w:lastRow="0" w:noHBand="0" w:noVBand="1" w:val="04A0"/>
      </w:tblPr>
      <w:tblGrid>
        <w:gridCol w:w="1134"/>
        <w:gridCol w:w="1332"/>
        <w:gridCol w:w="2636"/>
        <w:gridCol w:w="4195"/>
      </w:tblGrid>
      <w:tr>
        <w:trPr>
          <w:tblHeader w:val="true"/>
          <w:cantSplit/>
        </w:trPr>
        <w:tc>
          <w:tcPr>
            <w:tcW w:type="dxa" w:w="1134"/>
            <w:vAlign w:val="center"/>
            <w:tcMar>
              <w:top w:w="60" w:type="dxa"/>
              <w:bottom w:w="60" w:type="dxa"/>
              <w:left w:w="80" w:type="dxa"/>
              <w:right w:w="80" w:type="dxa"/>
            </w:tcMar>
          </w:tcPr>
          <w:p>
            <w:pPr>
              <w:spacing w:line="259" w:lineRule="auto" w:before="0" w:after="0"/>
              <w:ind w:firstLine="0"/>
              <w:jc w:val="center"/>
            </w:pPr>
            <w:r/>
            <w:r>
              <w:rPr>
                <w:rFonts w:ascii="Times New Roman" w:hAnsi="Times New Roman"/>
                <w:b/>
                <w:color w:val="000000"/>
                <w:sz w:val="28"/>
              </w:rPr>
              <w:t>ID</w:t>
            </w:r>
          </w:p>
        </w:tc>
        <w:tc>
          <w:tcPr>
            <w:tcW w:type="dxa" w:w="1332"/>
            <w:vAlign w:val="center"/>
            <w:tcMar>
              <w:top w:w="60" w:type="dxa"/>
              <w:bottom w:w="60" w:type="dxa"/>
              <w:left w:w="80" w:type="dxa"/>
              <w:right w:w="80" w:type="dxa"/>
            </w:tcMar>
          </w:tcPr>
          <w:p>
            <w:pPr>
              <w:spacing w:line="259" w:lineRule="auto" w:before="0" w:after="0"/>
              <w:ind w:firstLine="0"/>
              <w:jc w:val="center"/>
            </w:pPr>
            <w:r/>
            <w:r>
              <w:rPr>
                <w:rFonts w:ascii="Times New Roman" w:hAnsi="Times New Roman"/>
                <w:b/>
                <w:color w:val="000000"/>
                <w:sz w:val="28"/>
              </w:rPr>
              <w:t>Priority</w:t>
            </w:r>
          </w:p>
        </w:tc>
        <w:tc>
          <w:tcPr>
            <w:tcW w:type="dxa" w:w="2636"/>
            <w:vAlign w:val="center"/>
            <w:tcMar>
              <w:top w:w="60" w:type="dxa"/>
              <w:bottom w:w="60" w:type="dxa"/>
              <w:left w:w="80" w:type="dxa"/>
              <w:right w:w="80" w:type="dxa"/>
            </w:tcMar>
          </w:tcPr>
          <w:p>
            <w:pPr>
              <w:spacing w:line="259" w:lineRule="auto" w:before="0" w:after="0"/>
              <w:ind w:firstLine="0"/>
              <w:jc w:val="center"/>
            </w:pPr>
            <w:r/>
            <w:r>
              <w:rPr>
                <w:rFonts w:ascii="Times New Roman" w:hAnsi="Times New Roman"/>
                <w:b/>
                <w:color w:val="000000"/>
                <w:sz w:val="28"/>
              </w:rPr>
              <w:t>Requirement</w:t>
            </w:r>
          </w:p>
        </w:tc>
        <w:tc>
          <w:tcPr>
            <w:tcW w:type="dxa" w:w="4195"/>
            <w:vAlign w:val="center"/>
            <w:tcMar>
              <w:top w:w="60" w:type="dxa"/>
              <w:bottom w:w="60" w:type="dxa"/>
              <w:left w:w="80" w:type="dxa"/>
              <w:right w:w="80" w:type="dxa"/>
            </w:tcMar>
          </w:tcPr>
          <w:p>
            <w:pPr>
              <w:spacing w:line="259" w:lineRule="auto" w:before="0" w:after="0"/>
              <w:ind w:firstLine="0"/>
              <w:jc w:val="center"/>
            </w:pPr>
            <w:r/>
            <w:r>
              <w:rPr>
                <w:rFonts w:ascii="Times New Roman" w:hAnsi="Times New Roman"/>
                <w:b/>
                <w:color w:val="000000"/>
                <w:sz w:val="28"/>
              </w:rPr>
              <w:t>Acceptance criteria</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FR-01</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Show available lessons on the starting screen.</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At least three lesson topics are listed. Selecting any topic opens its description and the option to start.</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FR-02</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Start a lesson and move through its tasks.</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The child can start a lesson, submit each task and reach the final screen without needing developer or teacher input.</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FR-03</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Provide short interactive tasks with illustrations or clear examples.</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Each initial lesson contains 3–5 tasks. Every task states what action is expected and displays its answer options.</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FR-04</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Cover basic device use and navigation.</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An initial lesson includes at least one task about common device actions, icons or safe app navigation.</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FR-05</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Teach personal information safety.</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At least two example situations ask whether information may be shared. The tasks use fictional details and identify the safer choice.</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FR-06</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Teach recognition of suspicious messages or links.</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At least two simulated examples require the child to choose a safe action. No example opens a real external link.</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FR-07</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Check submitted answers.</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The app accepts a selected answer, identifies it as correct or incorrect according to the stored task key, and does not accept an empty submission.</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FR-08</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Explain mistakes and allow another attempt.</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For an incorrect answer, the child sees a short explanation and can retry the same task at least once.</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FR-09</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Offer a hint during a task.</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Each task has an optional Hint control. It shows a clue before the answer is submitted and does not automatically complete the task.</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FR-10</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Save lesson results.</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After a task or lesson is completed, its result is recorded. Completed lesson results remain available after closing and reopening the app.</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FR-11</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Display basic learning progress.</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The progress screen shows completed lessons and correct-answer counts using the saved results. Its values match a prepared test set.</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FR-12</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Should</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Give simple rewards for completed lessons.</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Finishing a lesson can award a star or badge shown in the interface; rewards do not require payment or repeated daily use.</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FR-13</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Should</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Include an information-search or source-checking exercise.</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At least one task asks the child to choose the more reliable of two fictional search results and explains the choice.</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FR-14</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Could</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Add a short adult-facing summary in a later version.</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If implemented, an adult can view completed lessons and topics needing practice without seeing personal information. Not required for the first release.</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FR-15</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Could</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Add spoken task instructions in a later version.</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If implemented, a visible audio control reads the instruction aloud and allows replay. Text remains available.</w:t>
            </w:r>
          </w:p>
        </w:tc>
      </w:tr>
    </w:tbl>
    <w:p>
      <w:pPr>
        <w:spacing w:after="0"/>
      </w:pPr>
    </w:p>
    <w:p>
      <w:pPr>
        <w:keepNext/>
        <w:spacing w:after="100"/>
        <w:ind w:firstLine="0"/>
      </w:pPr>
      <w:r>
        <w:rPr>
          <w:b/>
        </w:rPr>
        <w:t>Non-functional requirements</w:t>
      </w:r>
    </w:p>
    <w:p>
      <w:pPr>
        <w:spacing w:after="100"/>
        <w:ind w:firstLine="425"/>
      </w:pPr>
      <w:r>
        <w:t>The checks below are proposed acceptance tests. Numeric limits are team targets for the first prototype and should be reviewed after initial device testing. They were not measured in the survey.</w:t>
      </w:r>
    </w:p>
    <w:tbl>
      <w:tblPr>
        <w:tblStyle w:val="TableGrid"/>
        <w:tblW w:type="auto" w:w="0"/>
        <w:jc w:val="center"/>
        <w:tblLayout w:type="fixed"/>
        <w:tblLook w:firstColumn="1" w:firstRow="1" w:lastColumn="0" w:lastRow="0" w:noHBand="0" w:noVBand="1" w:val="04A0"/>
      </w:tblPr>
      <w:tblGrid>
        <w:gridCol w:w="1134"/>
        <w:gridCol w:w="1332"/>
        <w:gridCol w:w="2636"/>
        <w:gridCol w:w="4195"/>
      </w:tblGrid>
      <w:tr>
        <w:trPr>
          <w:tblHeader w:val="true"/>
          <w:cantSplit/>
        </w:trPr>
        <w:tc>
          <w:tcPr>
            <w:tcW w:type="dxa" w:w="1134"/>
            <w:vAlign w:val="center"/>
            <w:tcMar>
              <w:top w:w="60" w:type="dxa"/>
              <w:bottom w:w="60" w:type="dxa"/>
              <w:left w:w="80" w:type="dxa"/>
              <w:right w:w="80" w:type="dxa"/>
            </w:tcMar>
          </w:tcPr>
          <w:p>
            <w:pPr>
              <w:spacing w:line="259" w:lineRule="auto" w:before="0" w:after="0"/>
              <w:ind w:firstLine="0"/>
              <w:jc w:val="center"/>
            </w:pPr>
            <w:r/>
            <w:r>
              <w:rPr>
                <w:rFonts w:ascii="Times New Roman" w:hAnsi="Times New Roman"/>
                <w:b/>
                <w:color w:val="000000"/>
                <w:sz w:val="28"/>
              </w:rPr>
              <w:t>ID</w:t>
            </w:r>
          </w:p>
        </w:tc>
        <w:tc>
          <w:tcPr>
            <w:tcW w:type="dxa" w:w="1332"/>
            <w:vAlign w:val="center"/>
            <w:tcMar>
              <w:top w:w="60" w:type="dxa"/>
              <w:bottom w:w="60" w:type="dxa"/>
              <w:left w:w="80" w:type="dxa"/>
              <w:right w:w="80" w:type="dxa"/>
            </w:tcMar>
          </w:tcPr>
          <w:p>
            <w:pPr>
              <w:spacing w:line="259" w:lineRule="auto" w:before="0" w:after="0"/>
              <w:ind w:firstLine="0"/>
              <w:jc w:val="center"/>
            </w:pPr>
            <w:r/>
            <w:r>
              <w:rPr>
                <w:rFonts w:ascii="Times New Roman" w:hAnsi="Times New Roman"/>
                <w:b/>
                <w:color w:val="000000"/>
                <w:sz w:val="28"/>
              </w:rPr>
              <w:t>Priority</w:t>
            </w:r>
          </w:p>
        </w:tc>
        <w:tc>
          <w:tcPr>
            <w:tcW w:type="dxa" w:w="2636"/>
            <w:vAlign w:val="center"/>
            <w:tcMar>
              <w:top w:w="60" w:type="dxa"/>
              <w:bottom w:w="60" w:type="dxa"/>
              <w:left w:w="80" w:type="dxa"/>
              <w:right w:w="80" w:type="dxa"/>
            </w:tcMar>
          </w:tcPr>
          <w:p>
            <w:pPr>
              <w:spacing w:line="259" w:lineRule="auto" w:before="0" w:after="0"/>
              <w:ind w:firstLine="0"/>
              <w:jc w:val="center"/>
            </w:pPr>
            <w:r/>
            <w:r>
              <w:rPr>
                <w:rFonts w:ascii="Times New Roman" w:hAnsi="Times New Roman"/>
                <w:b/>
                <w:color w:val="000000"/>
                <w:sz w:val="28"/>
              </w:rPr>
              <w:t>Requirement</w:t>
            </w:r>
          </w:p>
        </w:tc>
        <w:tc>
          <w:tcPr>
            <w:tcW w:type="dxa" w:w="4195"/>
            <w:vAlign w:val="center"/>
            <w:tcMar>
              <w:top w:w="60" w:type="dxa"/>
              <w:bottom w:w="60" w:type="dxa"/>
              <w:left w:w="80" w:type="dxa"/>
              <w:right w:w="80" w:type="dxa"/>
            </w:tcMar>
          </w:tcPr>
          <w:p>
            <w:pPr>
              <w:spacing w:line="259" w:lineRule="auto" w:before="0" w:after="0"/>
              <w:ind w:firstLine="0"/>
              <w:jc w:val="center"/>
            </w:pPr>
            <w:r/>
            <w:r>
              <w:rPr>
                <w:rFonts w:ascii="Times New Roman" w:hAnsi="Times New Roman"/>
                <w:b/>
                <w:color w:val="000000"/>
                <w:sz w:val="28"/>
              </w:rPr>
              <w:t>Acceptance criteria</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NFR-01</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Use an interface children can follow without reading long instructions.</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Lesson navigation uses short labels and clear controls. In an observed trial with three children aged 6–10 and adult consent, at least two can start a lesson and submit an answer without step-by-step coaching.</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NFR-02</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Avoid collecting unnecessary child information.</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The basic lesson flow can be used without entering a child’s name, address, phone number, email or photo. Data fields and network requests are checked for these items.</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NFR-03</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Keep learning activities within a safe environment.</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The child-facing screens contain no advertising, in-app purchases, open chat, or direct links to third-party sites. A manual check covers each screen and lesson.</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NFR-04</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Keep instructions and answers understandable.</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Correct and incorrect answers are distinguishable without relying on colour alone. Main touch controls are at least 48 × 48 logical pixels where applicable; screens are reviewed on a phone.</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NFR-05</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Must</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Save completed work reliably.</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In ten test runs, a submitted lesson result remains unchanged after the app is closed and reopened. Any failure is recorded and fixed before sign-off.</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NFR-06</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Should</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Open lessons without long delays.</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On a named reference Android device with the test connection recorded, 9 of 10 lesson-opening attempts show the first task within three seconds.</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NFR-07</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Should</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Keep sessions manageable and free of time pressure.</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Each initial lesson contains 3–5 tasks, shows a clear end point, and has no compulsory countdown timer. Session length is measured during the pilot.</w:t>
            </w:r>
          </w:p>
        </w:tc>
      </w:tr>
      <w:tr>
        <w:trPr>
          <w:cantSplit/>
        </w:trPr>
        <w:tc>
          <w:tcPr>
            <w:tcW w:type="dxa" w:w="1134"/>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NFR-08</w:t>
            </w:r>
          </w:p>
        </w:tc>
        <w:tc>
          <w:tcPr>
            <w:tcW w:type="dxa" w:w="1332"/>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Should</w:t>
            </w:r>
          </w:p>
        </w:tc>
        <w:tc>
          <w:tcPr>
            <w:tcW w:type="dxa" w:w="2636"/>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Support the planned Flutter client and backend boundary.</w:t>
            </w:r>
          </w:p>
        </w:tc>
        <w:tc>
          <w:tcPr>
            <w:tcW w:type="dxa" w:w="4195"/>
            <w:vAlign w:val="center"/>
            <w:tcMar>
              <w:top w:w="60" w:type="dxa"/>
              <w:bottom w:w="60" w:type="dxa"/>
              <w:left w:w="80" w:type="dxa"/>
              <w:right w:w="80" w:type="dxa"/>
            </w:tcMar>
          </w:tcPr>
          <w:p>
            <w:pPr>
              <w:spacing w:line="259" w:lineRule="auto" w:before="0" w:after="0"/>
              <w:ind w:firstLine="0"/>
              <w:jc w:val="left"/>
            </w:pPr>
            <w:r/>
            <w:r>
              <w:rPr>
                <w:rFonts w:ascii="Times New Roman" w:hAnsi="Times New Roman"/>
                <w:b w:val="0"/>
                <w:color w:val="000000"/>
                <w:sz w:val="28"/>
              </w:rPr>
              <w:t>The Flutter interface uses a separate data/service layer. The proposed Node.js/Express API and chosen storage are documented before integration; task data and results can be tested independently of the screens.</w:t>
            </w:r>
          </w:p>
        </w:tc>
      </w:tr>
    </w:tbl>
    <w:p>
      <w:pPr>
        <w:spacing w:after="0"/>
      </w:pPr>
    </w:p>
    <w:p>
      <w:pPr>
        <w:keepNext/>
        <w:spacing w:after="100"/>
        <w:ind w:firstLine="0"/>
      </w:pPr>
      <w:r>
        <w:rPr>
          <w:b/>
        </w:rPr>
        <w:t>Acceptance and traceability</w:t>
      </w:r>
    </w:p>
    <w:p>
      <w:pPr>
        <w:spacing w:after="100"/>
        <w:ind w:firstLine="425"/>
      </w:pPr>
      <w:r>
        <w:t>The first implementation is accepted when every “Must” requirement passes its listed check. “Should” and “Could” requirements are tracked separately and may remain unfinished at Pre-Defense 1. The project is still at the analysis and design stage, so the tables describe planned tests rather than completed test results.</w:t>
      </w:r>
    </w:p>
    <w:p>
      <w:pPr>
        <w:spacing w:after="100"/>
        <w:ind w:firstLine="425"/>
      </w:pPr>
      <w:r>
        <w:t>During testing, each check should have a short record: requirement ID, test date, device or environment, expected result, actual result and pass/fail status. Any revised criterion should be updated in the document and in the corresponding YouTrack task. The lesson and feedback requirements correspond to the current Use Case and Component Diagrams; optional adult-facing features and spoken instructions have not been added to those draft diagrams.</w:t>
      </w:r>
    </w:p>
    <w:p>
      <w:pPr>
        <w:spacing w:after="100"/>
        <w:ind w:firstLine="425"/>
      </w:pPr>
      <w:r>
        <w:t>Source: Team survey “Развитие цифровых навыков детей 6–10 лет”, CSV response export and Google Forms summary screenshots supplied for DLM-10. Calculations use the 14 complete responses referring to children aged 6–10. Requirements not directly evidenced by the survey, including performance limits, storage behaviour and component separation, are proposed engineering decisions to be validated during implementation.</w:t>
      </w:r>
    </w:p>
    <w:sectPr w:rsidR="00FC693F" w:rsidRPr="0006063C" w:rsidSect="00034616">
      <w:pgSz w:w="11906" w:h="16838"/>
      <w:pgMar w:top="1134" w:right="850" w:bottom="1134" w:left="1701"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before="0"/>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DLM-10 Requirements Specification</dc:title>
  <dc:subject>Functional and non-functional requirements for a planned digital literacy application</dc:subject>
  <dc:creator>Digital Literacy Mobile App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