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Matrice A : chaque ligne est stockée dans le cache d’un processeur différent chargé depuis la mémoire principale. Ainsi, chaque processeur a une ligne différente donc ne communique pas avec les autres, on a donc peu d'incohérence. Plus on a de thread moins on a d'incohérence.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Matrice B : elle est lue et stockée dans chaque thread pour calculer C mais elle n’est pas modifiée donc nous n’avons pas non plus d'incohérence.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Matrice C : par définition du produit de matrice chaque ligne de C correspond au produit de la ligne de A correspondante avec B, ainsi, chaque processus écrit des lignes différentes de C donc on n’a pas de problème de cohérence.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Question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Valeur par defaut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fetchWidth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d’instruction recuperées par cycle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fetchBufferSize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Taille du buffer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decodeWidth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d'instructions décodées par cycle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cacheStorePorts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ports disponibles pour acceder au cache (en ecriture)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d'instructions émises par cycle vers les unités d'exécution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Question 3 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Cache de donnée L1 (l1d)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Cache d’instruction L1 (l1i)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Cache unifié L2 (l2)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Taille du cache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32kB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Taille de la ligne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Associativité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