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Placeholder Clinical Protocol Guidelines</w:t>
      </w:r>
    </w:p>
    <w:p>
      <w:pPr>
        <w:pStyle w:val="Heading1"/>
      </w:pPr>
      <w:r>
        <w:t>1. Patient Screening Criteria</w:t>
      </w:r>
    </w:p>
    <w:p>
      <w:r>
        <w:t>Before enrollment, every candidate undergoes a structured screening interview covering medical history, current medications, and any known allergic reactions. Screening staff record baseline vital signs including heart rate, blood pressure, and body temperature, and cross-check these against the exclusion criteria defined in section three. Any candidate presenting with an active infection, uncontrolled chronic condition, or pregnancy is deferred from enrollment until the condition resolves or the pregnancy concludes.</w:t>
      </w:r>
    </w:p>
    <w:p>
      <w:r>
        <w:t>Screening also includes a review of prior participation in similar studies within the past twelve months, since overlapping enrollment can confound outcome measurements. Staff document the review outcome in the candidate's intake file and forward flagged cases to the supervising clinician for a secondary opinion before any enrollment decision is finalized.</w:t>
      </w:r>
    </w:p>
    <w:p>
      <w:r>
        <w:t>A second-tier screening step applies to candidates flagged during intake: an extended panel covering liver function, renal function, and coagulation markers. Results are reviewed within forty-eight hours, and any out-of-range value triggers a consult with the site's principal investigator before the candidate proceeds further.</w:t>
      </w:r>
    </w:p>
    <w:p>
      <w:pPr>
        <w:pStyle w:val="Heading1"/>
      </w:pPr>
      <w:r>
        <w:t>2. Sample Collection Procedure</w:t>
      </w:r>
    </w:p>
    <w:p>
      <w:r>
        <w:t>Blood samples are drawn using standard venipuncture technique into three separate collection tubes: one for complete blood count, one for the antigen panel assay, and one held in reserve for repeat testing if the initial result is ambiguous. Tubes are labeled immediately at the bedside with the participant identifier, collection timestamp, and collecting technician's initials to preserve chain of custody.</w:t>
      </w:r>
    </w:p>
    <w:p>
      <w:r>
        <w:t>Samples are transported to the processing lab within thirty minutes of collection, stored at the temperature specified for each assay type, and logged into the laboratory information system on arrival. Any sample that exceeds the transport time window is flagged as compromised and a redraw is scheduled rather than proceeding with a degraded specimen.</w:t>
      </w:r>
    </w:p>
    <w:p>
      <w:r>
        <w:t>Processing technicians centrifuge each tube according to the assay-specific protocol, separate plasma or serum as required, and aliquot the result into labeled cryovials for storage. Storage freezers are monitored continuously, and any excursion outside the validated temperature range triggers an automatic alert to the lab supervisor.</w:t>
      </w:r>
    </w:p>
    <w:p>
      <w:pPr>
        <w:pStyle w:val="Heading1"/>
      </w:pPr>
      <w:r>
        <w:t>3. Exclusion Criteria</w:t>
      </w:r>
    </w:p>
    <w:p>
      <w:r>
        <w:t>Candidates are excluded if they have a documented history of severe allergic reaction to any component of the study protocol, are currently enrolled in a conflicting interventional study, or are unable to provide informed consent independently. Age restrictions apply per the specific protocol variant being run, and these are confirmed against the candidate's government-issued identification during intake.</w:t>
      </w:r>
    </w:p>
    <w:p>
      <w:r>
        <w:t>Additional exclusion applies to candidates with recent major surgery within the preceding eight weeks, since post-surgical recovery can independently affect the biomarkers under study and would introduce a confound that the analysis plan is not designed to account for.</w:t>
      </w:r>
    </w:p>
    <w:p>
      <w:r>
        <w:t>Candidates on active immunosuppressive therapy are excluded unless the treating physician provides written clearance, since immune modulation directly interferes with the antigen response measurements central to this protocol's primary endpoint.</w:t>
      </w:r>
    </w:p>
    <w:p>
      <w:pPr>
        <w:pStyle w:val="Heading1"/>
      </w:pPr>
      <w:r>
        <w:t>4. Data Recording Standards</w:t>
      </w:r>
    </w:p>
    <w:p>
      <w:r>
        <w:t>All measurements are recorded directly into the electronic case report form at the time of observation; retrospective transcription from paper notes is discouraged except where field conditions make direct digital entry impractical. Every field left blank must carry an explicit reason code rather than being left ambiguous between 'not measured' and 'measured as zero'.</w:t>
      </w:r>
    </w:p>
    <w:p>
      <w:r>
        <w:t>Timepoints are recorded in the site's local time zone with the offset explicitly noted, since multi-site studies have previously encountered discrepancies when comparing timepoints across sites without a normalized reference. Discrepancies discovered during data review are resolved by consulting the original source document, never by assuming the most recent entry is correct by default.</w:t>
      </w:r>
    </w:p>
    <w:p>
      <w:r>
        <w:t>Weekly data quality reviews cross-reference a random ten percent sample of entries against source documents. Any discrepancy rate above two percent for a given site triggers a retraining session for that site's data entry staff before the next collection window opens.</w:t>
      </w:r>
    </w:p>
    <w:p>
      <w:pPr>
        <w:pStyle w:val="Heading1"/>
      </w:pPr>
      <w:r>
        <w:t>5. Adverse Event Reporting</w:t>
      </w:r>
    </w:p>
    <w:p>
      <w:r>
        <w:t>Any adverse event, regardless of perceived severity or relatedness to the study protocol, is reported to the site's principal investigator within twenty-four hours of the observing staff member becoming aware of it. Serious adverse events follow an expedited reporting path with notification to the ethics board within the timeframe specified by local regulation.</w:t>
      </w:r>
    </w:p>
    <w:p>
      <w:r>
        <w:t>Follow-up on reported events continues until resolution or until the event is classified as chronic and stable, whichever comes first. The causality assessment — unrelated, possibly related, or definitely related — is documented by the principal investigator and reviewed independently by the site's medical monitor before the record is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