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Personalizar el entorno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Netbeans:</w:t>
      </w:r>
    </w:p>
    <w:p w:rsidR="00000000" w:rsidDel="00000000" w:rsidP="00000000" w:rsidRDefault="00000000" w:rsidRPr="00000000" w14:paraId="00000003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Accede al menú </w:t>
      </w:r>
      <w:r w:rsidDel="00000000" w:rsidR="00000000" w:rsidRPr="00000000">
        <w:rPr>
          <w:b w:val="1"/>
          <w:vertAlign w:val="baseline"/>
          <w:rtl w:val="0"/>
        </w:rPr>
        <w:t xml:space="preserve">Tools→ Options </w:t>
      </w:r>
      <w:r w:rsidDel="00000000" w:rsidR="00000000" w:rsidRPr="00000000">
        <w:rPr>
          <w:b w:val="0"/>
          <w:vertAlign w:val="baseline"/>
          <w:rtl w:val="0"/>
        </w:rPr>
        <w:t xml:space="preserve">y desde ahí, en la pestaña general, prueba la conexión a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19820" cy="3200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Desde la pestaña del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Editor</w:t>
      </w:r>
      <w:r w:rsidDel="00000000" w:rsidR="00000000" w:rsidRPr="00000000">
        <w:rPr>
          <w:b w:val="0"/>
          <w:vertAlign w:val="baseline"/>
          <w:rtl w:val="0"/>
        </w:rPr>
        <w:t xml:space="preserve"> configúralo para que guarde el código cada conco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19820" cy="2273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Desde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Fuentes</w:t>
      </w:r>
      <w:r w:rsidDel="00000000" w:rsidR="00000000" w:rsidRPr="00000000">
        <w:rPr>
          <w:b w:val="0"/>
          <w:vertAlign w:val="baseline"/>
          <w:rtl w:val="0"/>
        </w:rPr>
        <w:t xml:space="preserve"> establece el tipo de letra como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Monospaced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19820" cy="350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Establece el color de la letra de los comentarios como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rosa.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11982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En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Apariencia 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establece el look and feel como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Dark Metal.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119820" cy="2095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1"/>
          <w:vertAlign w:val="baseline"/>
          <w:rtl w:val="0"/>
        </w:rPr>
        <w:t xml:space="preserve">Desde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Miscelaneous </w:t>
      </w:r>
      <w:r w:rsidDel="00000000" w:rsidR="00000000" w:rsidRPr="00000000">
        <w:rPr>
          <w:b w:val="0"/>
          <w:i w:val="1"/>
          <w:vertAlign w:val="baseline"/>
          <w:rtl w:val="0"/>
        </w:rPr>
        <w:t xml:space="preserve">establece el color de fondo del terminal como negro y el color de letra como verde.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19820" cy="39624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Desde el menú </w:t>
      </w:r>
      <w:r w:rsidDel="00000000" w:rsidR="00000000" w:rsidRPr="00000000">
        <w:rPr>
          <w:b w:val="1"/>
          <w:i w:val="0"/>
          <w:vertAlign w:val="baseline"/>
          <w:rtl w:val="0"/>
        </w:rPr>
        <w:t xml:space="preserve">Window 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muestra la ventana del terminal.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Cambia la ventana de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proyecto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 desde su posición original en la izquierda a la parte de la derecha (arrastrándola)</w:t>
      </w:r>
      <w:r w:rsidDel="00000000" w:rsidR="00000000" w:rsidRPr="00000000">
        <w:rPr>
          <w:b w:val="0"/>
          <w:i w:val="1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390198" cy="3755534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198" cy="3755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Cierra la ventana del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Navigator 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 y ábrela de nuevo mediante la combinación de teclas adecuada (Menú Window)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Haz lo mismo con la ventana de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Variables</w:t>
      </w:r>
      <w:r w:rsidDel="00000000" w:rsidR="00000000" w:rsidRPr="00000000">
        <w:rPr>
          <w:b w:val="0"/>
          <w:i w:val="0"/>
          <w:vertAlign w:val="baseline"/>
          <w:rtl w:val="0"/>
        </w:rPr>
        <w:t xml:space="preserve"> y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Intellij-idea</w:t>
      </w:r>
    </w:p>
    <w:p w:rsidR="00000000" w:rsidDel="00000000" w:rsidP="00000000" w:rsidRDefault="00000000" w:rsidRPr="00000000" w14:paraId="0000001B">
      <w:pPr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Describe el procedimiento, adjuntando capturas de pantalla que acrediten tu autoría, para: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Cambiar el tema con el que se visualiza el IDE a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Light width light header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119820" cy="3644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right="0" w:firstLine="0"/>
        <w:jc w:val="left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Aumenta el tamaño de letra a 14</w:t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524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right="0" w:firstLine="0"/>
        <w:jc w:val="left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Cambia la fuente del editor a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Droid sans mono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95950" cy="29051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Visualiza y oculta la ventana del </w:t>
      </w:r>
      <w:r w:rsidDel="00000000" w:rsidR="00000000" w:rsidRPr="00000000">
        <w:rPr>
          <w:b w:val="1"/>
          <w:i w:val="0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9820" cy="3111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9820" cy="4229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right="0" w:firstLine="0"/>
        <w:jc w:val="left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Muestra y oculta la ventana de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notificaciones</w:t>
      </w:r>
    </w:p>
    <w:p w:rsidR="00000000" w:rsidDel="00000000" w:rsidP="00000000" w:rsidRDefault="00000000" w:rsidRPr="00000000" w14:paraId="0000002E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 w14:paraId="0000002F">
      <w:pPr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2794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2298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Cambia la ventana de notificaciones desde la barra lateral derecha a la parte inferior izquierda de la ventana</w:t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3022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right="0" w:firstLine="0"/>
        <w:jc w:val="left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Usando una combinación de teclas aumenta el tamaño de letra de todas las ventanas y usando una combinación de teclas disminuye el tamaño de letra de todas las ventanas (simplemente anota aquí las teclas que necesitas pulsar)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Ctrl+rueda del ratón</w:t>
      </w:r>
    </w:p>
    <w:p w:rsidR="00000000" w:rsidDel="00000000" w:rsidP="00000000" w:rsidRDefault="00000000" w:rsidRPr="00000000" w14:paraId="00000037">
      <w:pPr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Ver la ventana de los breakpoints que se han puesto en el código con sus características.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Título1">
    <w:name w:val="Título 1"/>
    <w:basedOn w:val="Título"/>
    <w:next w:val="Cuerpodetexto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b w:val="1"/>
      <w:bCs w:val="1"/>
      <w:w w:val="100"/>
      <w:kern w:val="2"/>
      <w:position w:val="-1"/>
      <w:sz w:val="36"/>
      <w:szCs w:val="36"/>
      <w:effect w:val="none"/>
      <w:vertAlign w:val="baseline"/>
      <w:cs w:val="0"/>
      <w:em w:val="none"/>
      <w:lang w:bidi="hi-IN" w:eastAsia="zh-CN" w:val="es-ES"/>
    </w:rPr>
  </w:style>
  <w:style w:type="paragraph" w:styleId="Título2">
    <w:name w:val="Título 2"/>
    <w:basedOn w:val="Título"/>
    <w:next w:val="Cuerpodetexto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120" w:before="200" w:line="1" w:lineRule="atLeast"/>
      <w:ind w:leftChars="-1" w:rightChars="0" w:firstLineChars="-1"/>
      <w:textDirection w:val="btLr"/>
      <w:textAlignment w:val="top"/>
      <w:outlineLvl w:val="1"/>
    </w:pPr>
    <w:rPr>
      <w:rFonts w:ascii="Liberation Sans" w:cs="Lohit Devanagari" w:eastAsia="Noto Sans CJK SC" w:hAnsi="Liberation Sans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hi-IN" w:eastAsia="zh-CN" w:val="es-ES"/>
    </w:rPr>
  </w:style>
  <w:style w:type="character" w:styleId="Viñetas">
    <w:name w:val="Viñetas"/>
    <w:next w:val="Viñet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Símbolosdenumeración">
    <w:name w:val="Símbolos de numeración"/>
    <w:next w:val="Símbolosdenumeració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s-E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21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Ky/wRB0/f/fyQOWw1Ek/gaNoDg==">CgMxLjA4AHIhMXpkWEdlUWdDNm5ZQUpWNGpiVkc5bVE1Mm8yd2NFc1lz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2023-11-20T23:22:22Z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