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sz w:val="44"/>
          <w:szCs w:val="44"/>
        </w:rPr>
        <w:t xml:space="preserve">Anexo A. Documentación del código</w:t>
      </w:r>
    </w:p>
    <w:p>
      <w:pPr>
        <w:spacing w:after="360"/>
        <w:jc w:val="center"/>
      </w:pPr>
      <w:r>
        <w:rPr>
          <w:rFonts w:ascii="Arial" w:cs="Arial" w:eastAsia="Arial" w:hAnsi="Arial"/>
          <w:i/>
          <w:iCs/>
          <w:sz w:val="26"/>
          <w:szCs w:val="26"/>
        </w:rPr>
        <w:t xml:space="preserve">Diseño y entrenamiento de un agente de aprendizaje por refuerzo para combates dobles de Pokémon en formato VGC</w:t>
      </w:r>
    </w:p>
    <w:p>
      <w:pPr>
        <w:spacing w:after="140" w:line="276"/>
        <w:jc w:val="center"/>
      </w:pPr>
      <w:r>
        <w:rPr>
          <w:rFonts w:ascii="Arial" w:cs="Arial" w:eastAsia="Arial" w:hAnsi="Arial"/>
          <w:b w:val="false"/>
          <w:bCs w:val="false"/>
          <w:i w:val="false"/>
          <w:iCs w:val="false"/>
          <w:sz w:val="22"/>
          <w:szCs w:val="22"/>
        </w:rPr>
        <w:t xml:space="preserve">Autor: David Díaz Espinosa de los Monteros</w:t>
      </w:r>
    </w:p>
    <w:p>
      <w:pPr>
        <w:spacing w:after="140" w:line="276"/>
        <w:jc w:val="center"/>
      </w:pPr>
      <w:r>
        <w:rPr>
          <w:rFonts w:ascii="Arial" w:cs="Arial" w:eastAsia="Arial" w:hAnsi="Arial"/>
          <w:b w:val="false"/>
          <w:bCs w:val="false"/>
          <w:i/>
          <w:iCs/>
          <w:sz w:val="22"/>
          <w:szCs w:val="22"/>
        </w:rPr>
        <w:t xml:space="preserve">Universidad de Diseño, Innovación y Tecnología (UDIT) — Grado en Diseño y Desarrollo de Videojuegos, Especialidad de Programación</w:t>
      </w:r>
    </w:p>
    <w:p>
      <w:pPr>
        <w:spacing w:after="360" w:line="276"/>
        <w:jc w:val="center"/>
      </w:pPr>
      <w:r>
        <w:rPr>
          <w:rFonts w:ascii="Arial" w:cs="Arial" w:eastAsia="Arial" w:hAnsi="Arial"/>
          <w:b w:val="false"/>
          <w:bCs w:val="false"/>
          <w:i/>
          <w:iCs/>
          <w:sz w:val="22"/>
          <w:szCs w:val="22"/>
        </w:rPr>
        <w:t xml:space="preserve">Curso académico 2025-2026</w:t>
      </w:r>
    </w:p>
    <w:p>
      <w:pPr>
        <w:spacing w:after="140" w:line="276"/>
        <w:jc w:val="both"/>
      </w:pPr>
      <w:r>
        <w:rPr>
          <w:rFonts w:ascii="Arial" w:cs="Arial" w:eastAsia="Arial" w:hAnsi="Arial"/>
          <w:b w:val="false"/>
          <w:bCs w:val="false"/>
          <w:i w:val="false"/>
          <w:iCs w:val="false"/>
          <w:sz w:val="22"/>
          <w:szCs w:val="22"/>
        </w:rPr>
        <w:t xml:space="preserve">Este documento, anexo a la memoria individual del Trabajo de Fin de Grado, recoge la documentación técnica del código del proyecto en los seis apartados requeridos por la guía de redacción de la memoria de la Especialidad de Programación: componentes, bibliotecas de terceros, clases, requisitos para usar el proyecto, estructura del proyecto y otra documentación.</w:t>
      </w:r>
    </w:p>
    <w:p>
      <w:pPr>
        <w:pStyle w:val="Heading1"/>
        <w:spacing w:after="180" w:before="320"/>
      </w:pPr>
      <w:r>
        <w:rPr>
          <w:rFonts w:ascii="Arial" w:cs="Arial" w:eastAsia="Arial" w:hAnsi="Arial"/>
          <w:b/>
          <w:bCs/>
          <w:sz w:val="32"/>
          <w:szCs w:val="32"/>
        </w:rPr>
        <w:t xml:space="preserve">Componentes</w:t>
      </w:r>
    </w:p>
    <w:p>
      <w:pPr>
        <w:spacing w:after="140" w:line="276"/>
        <w:jc w:val="both"/>
      </w:pPr>
      <w:r>
        <w:rPr>
          <w:rFonts w:ascii="Arial" w:cs="Arial" w:eastAsia="Arial" w:hAnsi="Arial"/>
          <w:b w:val="false"/>
          <w:bCs w:val="false"/>
          <w:i w:val="false"/>
          <w:iCs w:val="false"/>
          <w:sz w:val="22"/>
          <w:szCs w:val="22"/>
        </w:rPr>
        <w:t xml:space="preserve">El software se ha dividido en los componentes que se enumeran a continuación. Las flechas del diagrama indican una relación de dependencia: A → B significa que el componente A utiliza el componente B.</w:t>
      </w:r>
    </w:p>
    <w:p>
      <w:pPr>
        <w:shd w:fill="EDEDED" w:val="clear"/>
        <w:spacing w:after="80" w:before="160"/>
        <w:jc w:val="center"/>
      </w:pPr>
      <w:r>
        <w:rPr>
          <w:rFonts w:ascii="Arial" w:cs="Arial" w:eastAsia="Arial" w:hAnsi="Arial"/>
          <w:i/>
          <w:iCs/>
          <w:color w:val="555555"/>
          <w:sz w:val="22"/>
          <w:szCs w:val="22"/>
        </w:rPr>
        <w:t xml:space="preserve">[Insertar aquí el diagrama de componentes en notación UML 2. Indicar los componentes que se describen debajo y sus relaciones de dependencia.]</w:t>
      </w:r>
    </w:p>
    <w:p>
      <w:pPr>
        <w:spacing w:after="140" w:line="276"/>
        <w:jc w:val="both"/>
      </w:pPr>
      <w:r>
        <w:rPr>
          <w:rFonts w:ascii="Arial" w:cs="Arial" w:eastAsia="Arial" w:hAnsi="Arial"/>
          <w:b w:val="false"/>
          <w:bCs w:val="false"/>
          <w:i w:val="false"/>
          <w:iCs w:val="false"/>
          <w:sz w:val="22"/>
          <w:szCs w:val="22"/>
        </w:rPr>
        <w:t xml:space="preserve">La descripción de cada componente es la siguiente:</w:t>
      </w:r>
    </w:p>
    <w:p>
      <w:pPr>
        <w:pStyle w:val="ListParagraph"/>
        <w:numPr>
          <w:ilvl w:val="0"/>
          <w:numId w:val="2"/>
        </w:numPr>
        <w:spacing w:after="80" w:line="276"/>
        <w:jc w:val="both"/>
      </w:pPr>
      <w:r>
        <w:rPr>
          <w:rFonts w:ascii="Arial" w:cs="Arial" w:eastAsia="Arial" w:hAnsi="Arial"/>
          <w:b/>
          <w:bCs/>
          <w:i w:val="false"/>
          <w:iCs w:val="false"/>
          <w:sz w:val="22"/>
          <w:szCs w:val="22"/>
        </w:rPr>
        <w:t xml:space="preserve">Servidor de combates (externo). </w:t>
      </w:r>
      <w:r>
        <w:rPr>
          <w:rFonts w:ascii="Arial" w:cs="Arial" w:eastAsia="Arial" w:hAnsi="Arial"/>
          <w:b w:val="false"/>
          <w:bCs w:val="false"/>
          <w:i w:val="false"/>
          <w:iCs w:val="false"/>
          <w:sz w:val="22"/>
          <w:szCs w:val="22"/>
        </w:rPr>
        <w:t xml:space="preserve">Pokémon Showdown en su variante adaptada por el proyecto VGC-Bench, ejecutado localmente en Node.js. Simula los combates y expone una API por WebSocket en el puerto 8000.</w:t>
      </w:r>
    </w:p>
    <w:p>
      <w:pPr>
        <w:pStyle w:val="ListParagraph"/>
        <w:numPr>
          <w:ilvl w:val="0"/>
          <w:numId w:val="2"/>
        </w:numPr>
        <w:spacing w:after="80" w:line="276"/>
        <w:jc w:val="both"/>
      </w:pPr>
      <w:r>
        <w:rPr>
          <w:rFonts w:ascii="Arial" w:cs="Arial" w:eastAsia="Arial" w:hAnsi="Arial"/>
          <w:b/>
          <w:bCs/>
          <w:i w:val="false"/>
          <w:iCs w:val="false"/>
          <w:sz w:val="22"/>
          <w:szCs w:val="22"/>
        </w:rPr>
        <w:t xml:space="preserve">Cliente del servidor (externo). </w:t>
      </w:r>
      <w:r>
        <w:rPr>
          <w:rFonts w:ascii="Arial" w:cs="Arial" w:eastAsia="Arial" w:hAnsi="Arial"/>
          <w:b w:val="false"/>
          <w:bCs w:val="false"/>
          <w:i w:val="false"/>
          <w:iCs w:val="false"/>
          <w:sz w:val="22"/>
          <w:szCs w:val="22"/>
        </w:rPr>
        <w:t xml:space="preserve">La biblioteca poke-env, que abstrae la comunicación por WebSocket con el servidor, mantiene el estado del combate y expone una interfaz compatible con el estándar Gymnasium.</w:t>
      </w:r>
    </w:p>
    <w:p>
      <w:pPr>
        <w:pStyle w:val="ListParagraph"/>
        <w:numPr>
          <w:ilvl w:val="0"/>
          <w:numId w:val="2"/>
        </w:numPr>
        <w:spacing w:after="80" w:line="276"/>
        <w:jc w:val="both"/>
      </w:pPr>
      <w:r>
        <w:rPr>
          <w:rFonts w:ascii="Arial" w:cs="Arial" w:eastAsia="Arial" w:hAnsi="Arial"/>
          <w:b/>
          <w:bCs/>
          <w:i w:val="false"/>
          <w:iCs w:val="false"/>
          <w:sz w:val="22"/>
          <w:szCs w:val="22"/>
        </w:rPr>
        <w:t xml:space="preserve">Entornos de combate del proyecto. </w:t>
      </w:r>
      <w:r>
        <w:rPr>
          <w:rFonts w:ascii="Arial" w:cs="Arial" w:eastAsia="Arial" w:hAnsi="Arial"/>
          <w:b w:val="false"/>
          <w:bCs w:val="false"/>
          <w:i w:val="false"/>
          <w:iCs w:val="false"/>
          <w:sz w:val="22"/>
          <w:szCs w:val="22"/>
        </w:rPr>
        <w:t xml:space="preserve">Las clases MySinglesEnv y MyDoublesEnv heredan de los entornos de poke-env y añaden dos elementos propios: la construcción de la observación rica (apartado 5.3.3 de la memoria) y el cálculo de la función de recompensa.</w:t>
      </w:r>
    </w:p>
    <w:p>
      <w:pPr>
        <w:pStyle w:val="ListParagraph"/>
        <w:numPr>
          <w:ilvl w:val="0"/>
          <w:numId w:val="2"/>
        </w:numPr>
        <w:spacing w:after="80" w:line="276"/>
        <w:jc w:val="both"/>
      </w:pPr>
      <w:r>
        <w:rPr>
          <w:rFonts w:ascii="Arial" w:cs="Arial" w:eastAsia="Arial" w:hAnsi="Arial"/>
          <w:b/>
          <w:bCs/>
          <w:i w:val="false"/>
          <w:iCs w:val="false"/>
          <w:sz w:val="22"/>
          <w:szCs w:val="22"/>
        </w:rPr>
        <w:t xml:space="preserve">Envoltorio de un solo agente. </w:t>
      </w:r>
      <w:r>
        <w:rPr>
          <w:rFonts w:ascii="Arial" w:cs="Arial" w:eastAsia="Arial" w:hAnsi="Arial"/>
          <w:b w:val="false"/>
          <w:bCs w:val="false"/>
          <w:i w:val="false"/>
          <w:iCs w:val="false"/>
          <w:sz w:val="22"/>
          <w:szCs w:val="22"/>
        </w:rPr>
        <w:t xml:space="preserve">El componente OpponentSamplingEnv convierte el entorno multiagente de poke-env en un entorno Gymnasium de un solo agente, gestiona la elección de acciones del oponente (aleatorio, máxima potencia, heurístico o self-play) y la robustez frente a fallos del servidor.</w:t>
      </w:r>
    </w:p>
    <w:p>
      <w:pPr>
        <w:pStyle w:val="ListParagraph"/>
        <w:numPr>
          <w:ilvl w:val="0"/>
          <w:numId w:val="2"/>
        </w:numPr>
        <w:spacing w:after="80" w:line="276"/>
        <w:jc w:val="both"/>
      </w:pPr>
      <w:r>
        <w:rPr>
          <w:rFonts w:ascii="Arial" w:cs="Arial" w:eastAsia="Arial" w:hAnsi="Arial"/>
          <w:b/>
          <w:bCs/>
          <w:i w:val="false"/>
          <w:iCs w:val="false"/>
          <w:sz w:val="22"/>
          <w:szCs w:val="22"/>
        </w:rPr>
        <w:t xml:space="preserve">Envoltorios de Stable-Baselines3. </w:t>
      </w:r>
      <w:r>
        <w:rPr>
          <w:rFonts w:ascii="Arial" w:cs="Arial" w:eastAsia="Arial" w:hAnsi="Arial"/>
          <w:b w:val="false"/>
          <w:bCs w:val="false"/>
          <w:i w:val="false"/>
          <w:iCs w:val="false"/>
          <w:sz w:val="22"/>
          <w:szCs w:val="22"/>
        </w:rPr>
        <w:t xml:space="preserve">Las clases SinglesGymEnv y DoublesGymEnv encapsulan el componente anterior y exponen un objeto Gymnasium con espacios de observación y de acciones que Stable-Baselines3 acepta directamente.</w:t>
      </w:r>
    </w:p>
    <w:p>
      <w:pPr>
        <w:pStyle w:val="ListParagraph"/>
        <w:numPr>
          <w:ilvl w:val="0"/>
          <w:numId w:val="2"/>
        </w:numPr>
        <w:spacing w:after="80" w:line="276"/>
        <w:jc w:val="both"/>
      </w:pPr>
      <w:r>
        <w:rPr>
          <w:rFonts w:ascii="Arial" w:cs="Arial" w:eastAsia="Arial" w:hAnsi="Arial"/>
          <w:b/>
          <w:bCs/>
          <w:i w:val="false"/>
          <w:iCs w:val="false"/>
          <w:sz w:val="22"/>
          <w:szCs w:val="22"/>
        </w:rPr>
        <w:t xml:space="preserve">Construcción de la observación. </w:t>
      </w:r>
      <w:r>
        <w:rPr>
          <w:rFonts w:ascii="Arial" w:cs="Arial" w:eastAsia="Arial" w:hAnsi="Arial"/>
          <w:b w:val="false"/>
          <w:bCs w:val="false"/>
          <w:i w:val="false"/>
          <w:iCs w:val="false"/>
          <w:sz w:val="22"/>
          <w:szCs w:val="22"/>
        </w:rPr>
        <w:t xml:space="preserve">El módulo features.py reúne las funciones build_singles_obs y build_doubles_obs, que generan el vector numérico que el agente recibe en cada turno.</w:t>
      </w:r>
    </w:p>
    <w:p>
      <w:pPr>
        <w:pStyle w:val="ListParagraph"/>
        <w:numPr>
          <w:ilvl w:val="0"/>
          <w:numId w:val="2"/>
        </w:numPr>
        <w:spacing w:after="80" w:line="276"/>
        <w:jc w:val="both"/>
      </w:pPr>
      <w:r>
        <w:rPr>
          <w:rFonts w:ascii="Arial" w:cs="Arial" w:eastAsia="Arial" w:hAnsi="Arial"/>
          <w:b/>
          <w:bCs/>
          <w:i w:val="false"/>
          <w:iCs w:val="false"/>
          <w:sz w:val="22"/>
          <w:szCs w:val="22"/>
        </w:rPr>
        <w:t xml:space="preserve">Política y red neuronal. </w:t>
      </w:r>
      <w:r>
        <w:rPr>
          <w:rFonts w:ascii="Arial" w:cs="Arial" w:eastAsia="Arial" w:hAnsi="Arial"/>
          <w:b w:val="false"/>
          <w:bCs w:val="false"/>
          <w:i w:val="false"/>
          <w:iCs w:val="false"/>
          <w:sz w:val="22"/>
          <w:szCs w:val="22"/>
        </w:rPr>
        <w:t xml:space="preserve">El módulo policy.py expone una función que devuelve, según se elija MLP o Transformer, los argumentos de política para MaskablePPO. El extractor con atención (BattleTransformerExtractor) está implementado en este mismo módulo.</w:t>
      </w:r>
    </w:p>
    <w:p>
      <w:pPr>
        <w:pStyle w:val="ListParagraph"/>
        <w:numPr>
          <w:ilvl w:val="0"/>
          <w:numId w:val="2"/>
        </w:numPr>
        <w:spacing w:after="80" w:line="276"/>
        <w:jc w:val="both"/>
      </w:pPr>
      <w:r>
        <w:rPr>
          <w:rFonts w:ascii="Arial" w:cs="Arial" w:eastAsia="Arial" w:hAnsi="Arial"/>
          <w:b/>
          <w:bCs/>
          <w:i w:val="false"/>
          <w:iCs w:val="false"/>
          <w:sz w:val="22"/>
          <w:szCs w:val="22"/>
        </w:rPr>
        <w:t xml:space="preserve">Algoritmo de aprendizaje por refuerzo (externo). </w:t>
      </w:r>
      <w:r>
        <w:rPr>
          <w:rFonts w:ascii="Arial" w:cs="Arial" w:eastAsia="Arial" w:hAnsi="Arial"/>
          <w:b w:val="false"/>
          <w:bCs w:val="false"/>
          <w:i w:val="false"/>
          <w:iCs w:val="false"/>
          <w:sz w:val="22"/>
          <w:szCs w:val="22"/>
        </w:rPr>
        <w:t xml:space="preserve">MaskablePPO de la biblioteca sb3-contrib, una variante de PPO con enmascaramiento de acciones, distribuida por encima de Stable-Baselines3.</w:t>
      </w:r>
    </w:p>
    <w:p>
      <w:pPr>
        <w:pStyle w:val="ListParagraph"/>
        <w:numPr>
          <w:ilvl w:val="0"/>
          <w:numId w:val="2"/>
        </w:numPr>
        <w:spacing w:after="80" w:line="276"/>
        <w:jc w:val="both"/>
      </w:pPr>
      <w:r>
        <w:rPr>
          <w:rFonts w:ascii="Arial" w:cs="Arial" w:eastAsia="Arial" w:hAnsi="Arial"/>
          <w:b/>
          <w:bCs/>
          <w:i w:val="false"/>
          <w:iCs w:val="false"/>
          <w:sz w:val="22"/>
          <w:szCs w:val="22"/>
        </w:rPr>
        <w:t xml:space="preserve">Motor de redes neuronales (externo). </w:t>
      </w:r>
      <w:r>
        <w:rPr>
          <w:rFonts w:ascii="Arial" w:cs="Arial" w:eastAsia="Arial" w:hAnsi="Arial"/>
          <w:b w:val="false"/>
          <w:bCs w:val="false"/>
          <w:i w:val="false"/>
          <w:iCs w:val="false"/>
          <w:sz w:val="22"/>
          <w:szCs w:val="22"/>
        </w:rPr>
        <w:t xml:space="preserve">PyTorch, que proporciona las capas, los tensores y la diferenciación automática que Stable-Baselines3 emplea internamente y que el extractor Transformer utiliza de manera explícita.</w:t>
      </w:r>
    </w:p>
    <w:p>
      <w:pPr>
        <w:pStyle w:val="ListParagraph"/>
        <w:numPr>
          <w:ilvl w:val="0"/>
          <w:numId w:val="2"/>
        </w:numPr>
        <w:spacing w:after="80" w:line="276"/>
        <w:jc w:val="both"/>
      </w:pPr>
      <w:r>
        <w:rPr>
          <w:rFonts w:ascii="Arial" w:cs="Arial" w:eastAsia="Arial" w:hAnsi="Arial"/>
          <w:b/>
          <w:bCs/>
          <w:i w:val="false"/>
          <w:iCs w:val="false"/>
          <w:sz w:val="22"/>
          <w:szCs w:val="22"/>
        </w:rPr>
        <w:t xml:space="preserve">Parche de poke-env. </w:t>
      </w:r>
      <w:r>
        <w:rPr>
          <w:rFonts w:ascii="Arial" w:cs="Arial" w:eastAsia="Arial" w:hAnsi="Arial"/>
          <w:b w:val="false"/>
          <w:bCs w:val="false"/>
          <w:i w:val="false"/>
          <w:iCs w:val="false"/>
          <w:sz w:val="22"/>
          <w:szCs w:val="22"/>
        </w:rPr>
        <w:t xml:space="preserve">El módulo poke_env_patch.py corrige en memoria, al importarse, un desajuste de poke-env con los Pokémon Zacian-Coronado y Zamazenta-Coronado (Behemoth Blade y Behemoth Bash frente a Iron Head), que impedía al agente y al oponente utilizar esos movimientos.</w:t>
      </w:r>
    </w:p>
    <w:p>
      <w:pPr>
        <w:pStyle w:val="ListParagraph"/>
        <w:numPr>
          <w:ilvl w:val="0"/>
          <w:numId w:val="2"/>
        </w:numPr>
        <w:spacing w:after="80" w:line="276"/>
        <w:jc w:val="both"/>
      </w:pPr>
      <w:r>
        <w:rPr>
          <w:rFonts w:ascii="Arial" w:cs="Arial" w:eastAsia="Arial" w:hAnsi="Arial"/>
          <w:b/>
          <w:bCs/>
          <w:i w:val="false"/>
          <w:iCs w:val="false"/>
          <w:sz w:val="22"/>
          <w:szCs w:val="22"/>
        </w:rPr>
        <w:t xml:space="preserve">Callback de métricas. </w:t>
      </w:r>
      <w:r>
        <w:rPr>
          <w:rFonts w:ascii="Arial" w:cs="Arial" w:eastAsia="Arial" w:hAnsi="Arial"/>
          <w:b w:val="false"/>
          <w:bCs w:val="false"/>
          <w:i w:val="false"/>
          <w:iCs w:val="false"/>
          <w:sz w:val="22"/>
          <w:szCs w:val="22"/>
        </w:rPr>
        <w:t xml:space="preserve">WinRateCallback (callbacks.py) registra en TensorBoard la tasa de victorias móvil del agente durante el entrenamiento.</w:t>
      </w:r>
    </w:p>
    <w:p>
      <w:pPr>
        <w:pStyle w:val="ListParagraph"/>
        <w:numPr>
          <w:ilvl w:val="0"/>
          <w:numId w:val="2"/>
        </w:numPr>
        <w:spacing w:after="80" w:line="276"/>
        <w:jc w:val="both"/>
      </w:pPr>
      <w:r>
        <w:rPr>
          <w:rFonts w:ascii="Arial" w:cs="Arial" w:eastAsia="Arial" w:hAnsi="Arial"/>
          <w:b/>
          <w:bCs/>
          <w:i w:val="false"/>
          <w:iCs w:val="false"/>
          <w:sz w:val="22"/>
          <w:szCs w:val="22"/>
        </w:rPr>
        <w:t xml:space="preserve">Scripts de entrada. </w:t>
      </w:r>
      <w:r>
        <w:rPr>
          <w:rFonts w:ascii="Arial" w:cs="Arial" w:eastAsia="Arial" w:hAnsi="Arial"/>
          <w:b w:val="false"/>
          <w:bCs w:val="false"/>
          <w:i w:val="false"/>
          <w:iCs w:val="false"/>
          <w:sz w:val="22"/>
          <w:szCs w:val="22"/>
        </w:rPr>
        <w:t xml:space="preserve">train_singles.py y train_doubles.py para entrenar; play.py para jugar contra humanos o en la ladder; battle_models.py para enfrentar dos modelos o un modelo frente a baselines; selfplay_from.py para arrancar un entrenamiento por self-play a partir de un modelo ya entrenado; plot_metrics.py para exportar las gráficas; patch_server_formats.py para añadir formatos VGC vigentes al servidor.</w:t>
      </w:r>
    </w:p>
    <w:p>
      <w:pPr>
        <w:spacing w:after="140" w:line="276"/>
        <w:jc w:val="both"/>
      </w:pPr>
      <w:r>
        <w:rPr>
          <w:rFonts w:ascii="Arial" w:cs="Arial" w:eastAsia="Arial" w:hAnsi="Arial"/>
          <w:b w:val="false"/>
          <w:bCs w:val="false"/>
          <w:i w:val="false"/>
          <w:iCs w:val="false"/>
          <w:sz w:val="22"/>
          <w:szCs w:val="22"/>
        </w:rPr>
        <w:t xml:space="preserve">La dependencia es, en líneas generales, de arriba a abajo: los scripts de entrada utilizan los envoltorios de Stable-Baselines3, que dependen del envoltorio de un solo agente, que depende del entorno propio del proyecto, que a su vez depende de poke-env y este del servidor de Pokémon Showdown.</w:t>
      </w:r>
    </w:p>
    <w:p>
      <w:pPr>
        <w:pStyle w:val="Heading1"/>
        <w:spacing w:after="180" w:before="320"/>
      </w:pPr>
      <w:r>
        <w:rPr>
          <w:rFonts w:ascii="Arial" w:cs="Arial" w:eastAsia="Arial" w:hAnsi="Arial"/>
          <w:b/>
          <w:bCs/>
          <w:sz w:val="32"/>
          <w:szCs w:val="32"/>
        </w:rPr>
        <w:t xml:space="preserve">Bibliotecas de terceros</w:t>
      </w:r>
    </w:p>
    <w:p>
      <w:pPr>
        <w:spacing w:after="140" w:line="276"/>
        <w:jc w:val="both"/>
      </w:pPr>
      <w:r>
        <w:rPr>
          <w:rFonts w:ascii="Arial" w:cs="Arial" w:eastAsia="Arial" w:hAnsi="Arial"/>
          <w:b w:val="false"/>
          <w:bCs w:val="false"/>
          <w:i w:val="false"/>
          <w:iCs w:val="false"/>
          <w:sz w:val="22"/>
          <w:szCs w:val="22"/>
        </w:rPr>
        <w:t xml:space="preserve">En la siguiente tabla se enumeran las bibliotecas de terceros utilizadas, junto con su versión, la función que cumplen en el proyecto, el motivo por el que se eligieron y los enlaces a sus fuentes y documentación. Las versiones exactas, incluidas las transitivas, se fijan en el archivo requirements.lock entregado dentro del Anexo C (Archivos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200"/>
        <w:gridCol w:w="136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rFonts w:ascii="Arial" w:cs="Arial" w:eastAsia="Arial" w:hAnsi="Arial"/>
                <w:b/>
                <w:bCs/>
                <w:sz w:val="20"/>
                <w:szCs w:val="20"/>
              </w:rPr>
              <w:t xml:space="preserve">Biblioteca (versión)</w:t>
            </w:r>
          </w:p>
        </w:tc>
        <w:tc>
          <w:tcPr>
            <w:tcW w:type="dxa" w:w="2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rFonts w:ascii="Arial" w:cs="Arial" w:eastAsia="Arial" w:hAnsi="Arial"/>
                <w:b/>
                <w:bCs/>
                <w:sz w:val="20"/>
                <w:szCs w:val="20"/>
              </w:rPr>
              <w:t xml:space="preserve">Función en el proyecto</w:t>
            </w:r>
          </w:p>
        </w:tc>
        <w:tc>
          <w:tcPr>
            <w:tcW w:type="dxa" w:w="2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rFonts w:ascii="Arial" w:cs="Arial" w:eastAsia="Arial" w:hAnsi="Arial"/>
                <w:b/>
                <w:bCs/>
                <w:sz w:val="20"/>
                <w:szCs w:val="20"/>
              </w:rPr>
              <w:t xml:space="preserve">Motivo de elección</w:t>
            </w:r>
          </w:p>
        </w:tc>
        <w:tc>
          <w:tcPr>
            <w:tcW w:type="dxa" w:w="1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rFonts w:ascii="Arial" w:cs="Arial" w:eastAsia="Arial" w:hAnsi="Arial"/>
                <w:b/>
                <w:bCs/>
                <w:sz w:val="20"/>
                <w:szCs w:val="20"/>
              </w:rPr>
              <w:t xml:space="preserve">Fuente / documentación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poke-env (0.15.0)</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Cliente Python del servidor de Pokémon Showdown. Mantiene el estado del combate y expone entornos compatibles con Gymnasium para combates individuales y dobles.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Es la única biblioteca consolidada en Python que comunica con Pokémon Showdown y que ofrece entornos preparados para aprendizaje por refuerzo en el dominio. Reescribirla habría sido un proyecto en sí mismo.</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https://github.com/hsahovic/poke-env</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Stable-Baselines3 (2.7.1)</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Implementación de los algoritmos de aprendizaje por refuerzo (PPO, A2C, etc.). Orquesta el ciclo de entrenamiento.</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Es la biblioteca de referencia para RL en PyTorch, contrastada y documentada. Reutilizarla evita errores sutiles en la implementación del algoritmo y permite centrar el esfuerzo en el dominio.</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https://stable-baselines3.readthedocs.io</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sb3-contrib (2.7.0)</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Extensión de Stable-Baselines3. Aporta MaskablePPO (PPO con enmascaramiento de acciones).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El enmascaramiento de acciones es imprescindible en este dominio (muchas jugadas son ilegales según el estado del combate) y sb3-contrib lo implementa de forma compatible con Stable-Baselines3.</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https://sb3-contrib.readthedocs.io</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PyTorch (2.9.1)</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Motor de cálculo para las redes neuronales (capas, tensores y diferenciación automática). Se utiliza de forma implícita a través de Stable-Baselines3 y explícitamente en el extractor Transformer.</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Es el estándar de hecho que utiliza Stable-Baselines3 y la opción más portable entre CPU y GPU.</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https://pytorch.org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Gymnasium (1.2.3)</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Estándar de interfaz para entornos de aprendizaje por refuerzo (reset, step, espacios de observación y de acciones).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Es el estándar que consumen poke-env (en sus versiones recientes) y Stable-Baselines3, lo que evita escribir código de unión entre ambos.</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https://gymnasium.farama.org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TensorBoard (2.20.0)</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Visualización de las métricas de entrenamiento (recompensa media, tasa de victorias, entropía de la política, etc.).</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Es la herramienta estándar para visualizar los registros que produce Stable-Baselines3, sin necesidad de configuración adicional.</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https://www.tensorflow.org/tensorboard</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matplotlib (3.10.9)</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Exportación a imagen (PNG) de las curvas de entrenamiento registradas en TensorBoard para incluirlas en la memoria.</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Permite generar figuras a medida con etiquetas en español y formato de eje específico (0, 200k, 1M, etc.), algo que la web de TensorBoard no facilita.</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Arial" w:cs="Arial" w:eastAsia="Arial" w:hAnsi="Arial"/>
                <w:sz w:val="20"/>
                <w:szCs w:val="20"/>
              </w:rPr>
              <w:t xml:space="preserve">https://matplotlib.org</w:t>
            </w:r>
          </w:p>
        </w:tc>
      </w:tr>
    </w:tbl>
    <w:p>
      <w:pPr>
        <w:pStyle w:val="Heading1"/>
        <w:spacing w:after="180" w:before="320"/>
      </w:pPr>
      <w:r>
        <w:rPr>
          <w:rFonts w:ascii="Arial" w:cs="Arial" w:eastAsia="Arial" w:hAnsi="Arial"/>
          <w:b/>
          <w:bCs/>
          <w:sz w:val="32"/>
          <w:szCs w:val="32"/>
        </w:rPr>
        <w:t xml:space="preserve">Clases</w:t>
      </w:r>
    </w:p>
    <w:p>
      <w:pPr>
        <w:spacing w:after="140" w:line="276"/>
        <w:jc w:val="both"/>
      </w:pPr>
      <w:r>
        <w:rPr>
          <w:rFonts w:ascii="Arial" w:cs="Arial" w:eastAsia="Arial" w:hAnsi="Arial"/>
          <w:b w:val="false"/>
          <w:bCs w:val="false"/>
          <w:i w:val="false"/>
          <w:iCs w:val="false"/>
          <w:sz w:val="22"/>
          <w:szCs w:val="22"/>
        </w:rPr>
        <w:t xml:space="preserve">Se presenta a continuación el diagrama de clases del código propio del proyecto. Se han omitido las clases pertenecientes a poke-env, Stable-Baselines3, sb3-contrib y PyTorch, salvo aquellas de las que el código propio hereda directamente, indicadas en cursiva.</w:t>
      </w:r>
    </w:p>
    <w:p>
      <w:pPr>
        <w:shd w:fill="EDEDED" w:val="clear"/>
        <w:spacing w:after="80" w:before="160"/>
        <w:jc w:val="center"/>
      </w:pPr>
      <w:r>
        <w:rPr>
          <w:rFonts w:ascii="Arial" w:cs="Arial" w:eastAsia="Arial" w:hAnsi="Arial"/>
          <w:i/>
          <w:iCs/>
          <w:color w:val="555555"/>
          <w:sz w:val="22"/>
          <w:szCs w:val="22"/>
        </w:rPr>
        <w:t xml:space="preserve">[Insertar aquí el diagrama de clases en notación UML 2. Mostrar las herencias y las asociaciones entre las clases descritas más abajo.]</w:t>
      </w:r>
    </w:p>
    <w:p>
      <w:pPr>
        <w:spacing w:after="140" w:line="276"/>
        <w:jc w:val="both"/>
      </w:pPr>
      <w:r>
        <w:rPr>
          <w:rFonts w:ascii="Arial" w:cs="Arial" w:eastAsia="Arial" w:hAnsi="Arial"/>
          <w:b w:val="false"/>
          <w:bCs w:val="false"/>
          <w:i w:val="false"/>
          <w:iCs w:val="false"/>
          <w:sz w:val="22"/>
          <w:szCs w:val="22"/>
        </w:rPr>
        <w:t xml:space="preserve">Las principales clases del código propio son las siguientes:</w:t>
      </w:r>
    </w:p>
    <w:p>
      <w:pPr>
        <w:pStyle w:val="ListParagraph"/>
        <w:numPr>
          <w:ilvl w:val="0"/>
          <w:numId w:val="2"/>
        </w:numPr>
        <w:spacing w:after="80" w:line="276"/>
        <w:jc w:val="both"/>
      </w:pPr>
      <w:r>
        <w:rPr>
          <w:rFonts w:ascii="Arial" w:cs="Arial" w:eastAsia="Arial" w:hAnsi="Arial"/>
          <w:b/>
          <w:bCs/>
          <w:i w:val="false"/>
          <w:iCs w:val="false"/>
          <w:sz w:val="22"/>
          <w:szCs w:val="22"/>
        </w:rPr>
        <w:t xml:space="preserve">MySinglesEnv </w:t>
      </w:r>
      <w:r>
        <w:rPr>
          <w:rFonts w:ascii="Arial" w:cs="Arial" w:eastAsia="Arial" w:hAnsi="Arial"/>
          <w:b w:val="false"/>
          <w:bCs w:val="false"/>
          <w:i w:val="false"/>
          <w:iCs w:val="false"/>
          <w:sz w:val="22"/>
          <w:szCs w:val="22"/>
        </w:rPr>
        <w:t xml:space="preserve">(hereda de </w:t>
      </w:r>
      <w:r>
        <w:rPr>
          <w:rFonts w:ascii="Arial" w:cs="Arial" w:eastAsia="Arial" w:hAnsi="Arial"/>
          <w:b w:val="false"/>
          <w:bCs w:val="false"/>
          <w:i/>
          <w:iCs/>
          <w:sz w:val="22"/>
          <w:szCs w:val="22"/>
        </w:rPr>
        <w:t xml:space="preserve">SinglesEnv</w:t>
      </w:r>
      <w:r>
        <w:rPr>
          <w:rFonts w:ascii="Arial" w:cs="Arial" w:eastAsia="Arial" w:hAnsi="Arial"/>
          <w:b w:val="false"/>
          <w:bCs w:val="false"/>
          <w:i w:val="false"/>
          <w:iCs w:val="false"/>
          <w:sz w:val="22"/>
          <w:szCs w:val="22"/>
        </w:rPr>
        <w:t xml:space="preserve"> de poke-env). Sobrescribe los métodos embed_battle y calc_reward para construir la observación rica del estado del combate y la función de recompensa.</w:t>
      </w:r>
    </w:p>
    <w:p>
      <w:pPr>
        <w:pStyle w:val="ListParagraph"/>
        <w:numPr>
          <w:ilvl w:val="0"/>
          <w:numId w:val="2"/>
        </w:numPr>
        <w:spacing w:after="80" w:line="276"/>
        <w:jc w:val="both"/>
      </w:pPr>
      <w:r>
        <w:rPr>
          <w:rFonts w:ascii="Arial" w:cs="Arial" w:eastAsia="Arial" w:hAnsi="Arial"/>
          <w:b/>
          <w:bCs/>
          <w:i w:val="false"/>
          <w:iCs w:val="false"/>
          <w:sz w:val="22"/>
          <w:szCs w:val="22"/>
        </w:rPr>
        <w:t xml:space="preserve">MyDoublesEnv </w:t>
      </w:r>
      <w:r>
        <w:rPr>
          <w:rFonts w:ascii="Arial" w:cs="Arial" w:eastAsia="Arial" w:hAnsi="Arial"/>
          <w:b w:val="false"/>
          <w:bCs w:val="false"/>
          <w:i w:val="false"/>
          <w:iCs w:val="false"/>
          <w:sz w:val="22"/>
          <w:szCs w:val="22"/>
        </w:rPr>
        <w:t xml:space="preserve">(hereda de </w:t>
      </w:r>
      <w:r>
        <w:rPr>
          <w:rFonts w:ascii="Arial" w:cs="Arial" w:eastAsia="Arial" w:hAnsi="Arial"/>
          <w:b w:val="false"/>
          <w:bCs w:val="false"/>
          <w:i/>
          <w:iCs/>
          <w:sz w:val="22"/>
          <w:szCs w:val="22"/>
        </w:rPr>
        <w:t xml:space="preserve">DoublesEnv</w:t>
      </w:r>
      <w:r>
        <w:rPr>
          <w:rFonts w:ascii="Arial" w:cs="Arial" w:eastAsia="Arial" w:hAnsi="Arial"/>
          <w:b w:val="false"/>
          <w:bCs w:val="false"/>
          <w:i w:val="false"/>
          <w:iCs w:val="false"/>
          <w:sz w:val="22"/>
          <w:szCs w:val="22"/>
        </w:rPr>
        <w:t xml:space="preserve"> de poke-env). Equivalente a la anterior para combates dobles VGC.</w:t>
      </w:r>
    </w:p>
    <w:p>
      <w:pPr>
        <w:pStyle w:val="ListParagraph"/>
        <w:numPr>
          <w:ilvl w:val="0"/>
          <w:numId w:val="2"/>
        </w:numPr>
        <w:spacing w:after="80" w:line="276"/>
        <w:jc w:val="both"/>
      </w:pPr>
      <w:r>
        <w:rPr>
          <w:rFonts w:ascii="Arial" w:cs="Arial" w:eastAsia="Arial" w:hAnsi="Arial"/>
          <w:b/>
          <w:bCs/>
          <w:i w:val="false"/>
          <w:iCs w:val="false"/>
          <w:sz w:val="22"/>
          <w:szCs w:val="22"/>
        </w:rPr>
        <w:t xml:space="preserve">OpponentSamplingEnv </w:t>
      </w:r>
      <w:r>
        <w:rPr>
          <w:rFonts w:ascii="Arial" w:cs="Arial" w:eastAsia="Arial" w:hAnsi="Arial"/>
          <w:b w:val="false"/>
          <w:bCs w:val="false"/>
          <w:i w:val="false"/>
          <w:iCs w:val="false"/>
          <w:sz w:val="22"/>
          <w:szCs w:val="22"/>
        </w:rPr>
        <w:t xml:space="preserve">(hereda de </w:t>
      </w:r>
      <w:r>
        <w:rPr>
          <w:rFonts w:ascii="Arial" w:cs="Arial" w:eastAsia="Arial" w:hAnsi="Arial"/>
          <w:b w:val="false"/>
          <w:bCs w:val="false"/>
          <w:i/>
          <w:iCs/>
          <w:sz w:val="22"/>
          <w:szCs w:val="22"/>
        </w:rPr>
        <w:t xml:space="preserve">gymnasium.Env</w:t>
      </w:r>
      <w:r>
        <w:rPr>
          <w:rFonts w:ascii="Arial" w:cs="Arial" w:eastAsia="Arial" w:hAnsi="Arial"/>
          <w:b w:val="false"/>
          <w:bCs w:val="false"/>
          <w:i w:val="false"/>
          <w:iCs w:val="false"/>
          <w:sz w:val="22"/>
          <w:szCs w:val="22"/>
        </w:rPr>
        <w:t xml:space="preserve">). Encapsula uno de los dos entornos anteriores y convierte la simulación de dos agentes en un entorno de un solo agente. Decide la acción del oponente (modalidad aleatoria, máxima potencia, heurística o self-play), implementa el vigilante (watchdog), la reconstrucción del entorno tras un fallo y el cierre preventivo de batallas pendientes antes de cada reinicio.</w:t>
      </w:r>
    </w:p>
    <w:p>
      <w:pPr>
        <w:pStyle w:val="ListParagraph"/>
        <w:numPr>
          <w:ilvl w:val="0"/>
          <w:numId w:val="2"/>
        </w:numPr>
        <w:spacing w:after="80" w:line="276"/>
        <w:jc w:val="both"/>
      </w:pPr>
      <w:r>
        <w:rPr>
          <w:rFonts w:ascii="Arial" w:cs="Arial" w:eastAsia="Arial" w:hAnsi="Arial"/>
          <w:b/>
          <w:bCs/>
          <w:i w:val="false"/>
          <w:iCs w:val="false"/>
          <w:sz w:val="22"/>
          <w:szCs w:val="22"/>
        </w:rPr>
        <w:t xml:space="preserve">SinglesGymEnv y DoublesGymEnv </w:t>
      </w:r>
      <w:r>
        <w:rPr>
          <w:rFonts w:ascii="Arial" w:cs="Arial" w:eastAsia="Arial" w:hAnsi="Arial"/>
          <w:b w:val="false"/>
          <w:bCs w:val="false"/>
          <w:i w:val="false"/>
          <w:iCs w:val="false"/>
          <w:sz w:val="22"/>
          <w:szCs w:val="22"/>
        </w:rPr>
        <w:t xml:space="preserve">(heredan de </w:t>
      </w:r>
      <w:r>
        <w:rPr>
          <w:rFonts w:ascii="Arial" w:cs="Arial" w:eastAsia="Arial" w:hAnsi="Arial"/>
          <w:b w:val="false"/>
          <w:bCs w:val="false"/>
          <w:i/>
          <w:iCs/>
          <w:sz w:val="22"/>
          <w:szCs w:val="22"/>
        </w:rPr>
        <w:t xml:space="preserve">gymnasium.Env</w:t>
      </w:r>
      <w:r>
        <w:rPr>
          <w:rFonts w:ascii="Arial" w:cs="Arial" w:eastAsia="Arial" w:hAnsi="Arial"/>
          <w:b w:val="false"/>
          <w:bCs w:val="false"/>
          <w:i w:val="false"/>
          <w:iCs w:val="false"/>
          <w:sz w:val="22"/>
          <w:szCs w:val="22"/>
        </w:rPr>
        <w:t xml:space="preserve">). Envoltorios externos que crean el entorno anterior a partir de los parámetros de línea de comandos y exponen los espacios de observación y de acciones a Stable-Baselines3.</w:t>
      </w:r>
    </w:p>
    <w:p>
      <w:pPr>
        <w:pStyle w:val="ListParagraph"/>
        <w:numPr>
          <w:ilvl w:val="0"/>
          <w:numId w:val="2"/>
        </w:numPr>
        <w:spacing w:after="80" w:line="276"/>
        <w:jc w:val="both"/>
      </w:pPr>
      <w:r>
        <w:rPr>
          <w:rFonts w:ascii="Arial" w:cs="Arial" w:eastAsia="Arial" w:hAnsi="Arial"/>
          <w:b/>
          <w:bCs/>
          <w:i w:val="false"/>
          <w:iCs w:val="false"/>
          <w:sz w:val="22"/>
          <w:szCs w:val="22"/>
        </w:rPr>
        <w:t xml:space="preserve">BattleTransformerExtractor </w:t>
      </w:r>
      <w:r>
        <w:rPr>
          <w:rFonts w:ascii="Arial" w:cs="Arial" w:eastAsia="Arial" w:hAnsi="Arial"/>
          <w:b w:val="false"/>
          <w:bCs w:val="false"/>
          <w:i w:val="false"/>
          <w:iCs w:val="false"/>
          <w:sz w:val="22"/>
          <w:szCs w:val="22"/>
        </w:rPr>
        <w:t xml:space="preserve">(hereda de </w:t>
      </w:r>
      <w:r>
        <w:rPr>
          <w:rFonts w:ascii="Arial" w:cs="Arial" w:eastAsia="Arial" w:hAnsi="Arial"/>
          <w:b w:val="false"/>
          <w:bCs w:val="false"/>
          <w:i/>
          <w:iCs/>
          <w:sz w:val="22"/>
          <w:szCs w:val="22"/>
        </w:rPr>
        <w:t xml:space="preserve">BaseFeaturesExtractor</w:t>
      </w:r>
      <w:r>
        <w:rPr>
          <w:rFonts w:ascii="Arial" w:cs="Arial" w:eastAsia="Arial" w:hAnsi="Arial"/>
          <w:b w:val="false"/>
          <w:bCs w:val="false"/>
          <w:i w:val="false"/>
          <w:iCs w:val="false"/>
          <w:sz w:val="22"/>
          <w:szCs w:val="22"/>
        </w:rPr>
        <w:t xml:space="preserve"> de Stable-Baselines3). Implementa el extractor de características basado en atención: interpreta la observación como un conjunto de fichas, proyecta cada tipo de entidad a una dimensión común, aplica un codificador Transformer y resume el resultado en una ficha CLS que alimenta las cabezas de política y de valor.</w:t>
      </w:r>
    </w:p>
    <w:p>
      <w:pPr>
        <w:pStyle w:val="ListParagraph"/>
        <w:numPr>
          <w:ilvl w:val="0"/>
          <w:numId w:val="2"/>
        </w:numPr>
        <w:spacing w:after="80" w:line="276"/>
        <w:jc w:val="both"/>
      </w:pPr>
      <w:r>
        <w:rPr>
          <w:rFonts w:ascii="Arial" w:cs="Arial" w:eastAsia="Arial" w:hAnsi="Arial"/>
          <w:b/>
          <w:bCs/>
          <w:i w:val="false"/>
          <w:iCs w:val="false"/>
          <w:sz w:val="22"/>
          <w:szCs w:val="22"/>
        </w:rPr>
        <w:t xml:space="preserve">WinRateCallback </w:t>
      </w:r>
      <w:r>
        <w:rPr>
          <w:rFonts w:ascii="Arial" w:cs="Arial" w:eastAsia="Arial" w:hAnsi="Arial"/>
          <w:b w:val="false"/>
          <w:bCs w:val="false"/>
          <w:i w:val="false"/>
          <w:iCs w:val="false"/>
          <w:sz w:val="22"/>
          <w:szCs w:val="22"/>
        </w:rPr>
        <w:t xml:space="preserve">(hereda de </w:t>
      </w:r>
      <w:r>
        <w:rPr>
          <w:rFonts w:ascii="Arial" w:cs="Arial" w:eastAsia="Arial" w:hAnsi="Arial"/>
          <w:b w:val="false"/>
          <w:bCs w:val="false"/>
          <w:i/>
          <w:iCs/>
          <w:sz w:val="22"/>
          <w:szCs w:val="22"/>
        </w:rPr>
        <w:t xml:space="preserve">BaseCallback</w:t>
      </w:r>
      <w:r>
        <w:rPr>
          <w:rFonts w:ascii="Arial" w:cs="Arial" w:eastAsia="Arial" w:hAnsi="Arial"/>
          <w:b w:val="false"/>
          <w:bCs w:val="false"/>
          <w:i w:val="false"/>
          <w:iCs w:val="false"/>
          <w:sz w:val="22"/>
          <w:szCs w:val="22"/>
        </w:rPr>
        <w:t xml:space="preserve"> de Stable-Baselines3). Acumula los resultados de las últimas N batallas (a partir de la recompensa terminal) y registra en TensorBoard la tasa de victorias móvil del agente.</w:t>
      </w:r>
    </w:p>
    <w:p>
      <w:pPr>
        <w:spacing w:after="140" w:line="276"/>
        <w:jc w:val="both"/>
      </w:pPr>
      <w:r>
        <w:rPr>
          <w:rFonts w:ascii="Arial" w:cs="Arial" w:eastAsia="Arial" w:hAnsi="Arial"/>
          <w:b w:val="false"/>
          <w:bCs w:val="false"/>
          <w:i w:val="false"/>
          <w:iCs w:val="false"/>
          <w:sz w:val="22"/>
          <w:szCs w:val="22"/>
        </w:rPr>
        <w:t xml:space="preserve">El módulo poke_env_patch.py no expone clases propias: contiene funciones de reemplazo que se asignan en tiempo de importación a métodos estáticos de DoublesEnv y SinglesEnv de poke-env.</w:t>
      </w:r>
    </w:p>
    <w:p>
      <w:pPr>
        <w:pStyle w:val="Heading1"/>
        <w:spacing w:after="180" w:before="320"/>
      </w:pPr>
      <w:r>
        <w:rPr>
          <w:rFonts w:ascii="Arial" w:cs="Arial" w:eastAsia="Arial" w:hAnsi="Arial"/>
          <w:b/>
          <w:bCs/>
          <w:sz w:val="32"/>
          <w:szCs w:val="32"/>
        </w:rPr>
        <w:t xml:space="preserve">Requisitos para usar el proyecto</w:t>
      </w:r>
    </w:p>
    <w:p>
      <w:pPr>
        <w:pStyle w:val="Heading2"/>
        <w:spacing w:after="140" w:before="240"/>
      </w:pPr>
      <w:r>
        <w:rPr>
          <w:rFonts w:ascii="Arial" w:cs="Arial" w:eastAsia="Arial" w:hAnsi="Arial"/>
          <w:b/>
          <w:bCs/>
          <w:sz w:val="26"/>
          <w:szCs w:val="26"/>
        </w:rPr>
        <w:t xml:space="preserve">Sistema operativo</w:t>
      </w:r>
    </w:p>
    <w:p>
      <w:pPr>
        <w:spacing w:after="140" w:line="276"/>
        <w:jc w:val="both"/>
      </w:pPr>
      <w:r>
        <w:rPr>
          <w:rFonts w:ascii="Arial" w:cs="Arial" w:eastAsia="Arial" w:hAnsi="Arial"/>
          <w:b w:val="false"/>
          <w:bCs w:val="false"/>
          <w:i w:val="false"/>
          <w:iCs w:val="false"/>
          <w:sz w:val="22"/>
          <w:szCs w:val="22"/>
        </w:rPr>
        <w:t xml:space="preserve">El proyecto se ha desarrollado y verificado en Windows 10 y Windows 11. El código es portable: funciona también en Linux y macOS, aunque las instrucciones de instalación pueden requerir adaptaciones menores (por ejemplo, el script de activación del entorno virtual).</w:t>
      </w:r>
    </w:p>
    <w:p>
      <w:pPr>
        <w:pStyle w:val="Heading2"/>
        <w:spacing w:after="140" w:before="240"/>
      </w:pPr>
      <w:r>
        <w:rPr>
          <w:rFonts w:ascii="Arial" w:cs="Arial" w:eastAsia="Arial" w:hAnsi="Arial"/>
          <w:b/>
          <w:bCs/>
          <w:sz w:val="26"/>
          <w:szCs w:val="26"/>
        </w:rPr>
        <w:t xml:space="preserve">Software necesario</w:t>
      </w:r>
    </w:p>
    <w:p>
      <w:pPr>
        <w:spacing w:after="140" w:line="276"/>
        <w:jc w:val="both"/>
      </w:pPr>
      <w:r>
        <w:rPr>
          <w:rFonts w:ascii="Arial" w:cs="Arial" w:eastAsia="Arial" w:hAnsi="Arial"/>
          <w:b w:val="false"/>
          <w:bCs w:val="false"/>
          <w:i w:val="false"/>
          <w:iCs w:val="false"/>
          <w:sz w:val="22"/>
          <w:szCs w:val="22"/>
        </w:rPr>
        <w:t xml:space="preserve">Hay que instalar previamente los tres programas siguientes:</w:t>
      </w:r>
    </w:p>
    <w:p>
      <w:pPr>
        <w:pStyle w:val="ListParagraph"/>
        <w:numPr>
          <w:ilvl w:val="0"/>
          <w:numId w:val="2"/>
        </w:numPr>
        <w:spacing w:after="80" w:line="276"/>
        <w:jc w:val="both"/>
      </w:pPr>
      <w:r>
        <w:rPr>
          <w:rFonts w:ascii="Arial" w:cs="Arial" w:eastAsia="Arial" w:hAnsi="Arial"/>
          <w:b/>
          <w:bCs/>
          <w:i w:val="false"/>
          <w:iCs w:val="false"/>
          <w:sz w:val="22"/>
          <w:szCs w:val="22"/>
        </w:rPr>
        <w:t xml:space="preserve">Python 3.10–3.13. </w:t>
      </w:r>
      <w:r>
        <w:rPr>
          <w:rFonts w:ascii="Arial" w:cs="Arial" w:eastAsia="Arial" w:hAnsi="Arial"/>
          <w:b w:val="false"/>
          <w:bCs w:val="false"/>
          <w:i w:val="false"/>
          <w:iCs w:val="false"/>
          <w:sz w:val="22"/>
          <w:szCs w:val="22"/>
        </w:rPr>
        <w:t xml:space="preserve">Descargable de python.org. Durante la instalación es imprescindible marcar la casilla «Add python.exe to PATH», pues, en caso contrario, los comandos posteriores no encontrarán el intérprete.</w:t>
      </w:r>
    </w:p>
    <w:p>
      <w:pPr>
        <w:pStyle w:val="ListParagraph"/>
        <w:numPr>
          <w:ilvl w:val="0"/>
          <w:numId w:val="2"/>
        </w:numPr>
        <w:spacing w:after="80" w:line="276"/>
        <w:jc w:val="both"/>
      </w:pPr>
      <w:r>
        <w:rPr>
          <w:rFonts w:ascii="Arial" w:cs="Arial" w:eastAsia="Arial" w:hAnsi="Arial"/>
          <w:b/>
          <w:bCs/>
          <w:i w:val="false"/>
          <w:iCs w:val="false"/>
          <w:sz w:val="22"/>
          <w:szCs w:val="22"/>
        </w:rPr>
        <w:t xml:space="preserve">Node.js (versión LTS). </w:t>
      </w:r>
      <w:r>
        <w:rPr>
          <w:rFonts w:ascii="Arial" w:cs="Arial" w:eastAsia="Arial" w:hAnsi="Arial"/>
          <w:b w:val="false"/>
          <w:bCs w:val="false"/>
          <w:i w:val="false"/>
          <w:iCs w:val="false"/>
          <w:sz w:val="22"/>
          <w:szCs w:val="22"/>
        </w:rPr>
        <w:t xml:space="preserve">Necesario para ejecutar el servidor de Pokémon Showdown.</w:t>
      </w:r>
    </w:p>
    <w:p>
      <w:pPr>
        <w:pStyle w:val="ListParagraph"/>
        <w:numPr>
          <w:ilvl w:val="0"/>
          <w:numId w:val="2"/>
        </w:numPr>
        <w:spacing w:after="80" w:line="276"/>
        <w:jc w:val="both"/>
      </w:pPr>
      <w:r>
        <w:rPr>
          <w:rFonts w:ascii="Arial" w:cs="Arial" w:eastAsia="Arial" w:hAnsi="Arial"/>
          <w:b/>
          <w:bCs/>
          <w:i w:val="false"/>
          <w:iCs w:val="false"/>
          <w:sz w:val="22"/>
          <w:szCs w:val="22"/>
        </w:rPr>
        <w:t xml:space="preserve">Git. </w:t>
      </w:r>
      <w:r>
        <w:rPr>
          <w:rFonts w:ascii="Arial" w:cs="Arial" w:eastAsia="Arial" w:hAnsi="Arial"/>
          <w:b w:val="false"/>
          <w:bCs w:val="false"/>
          <w:i w:val="false"/>
          <w:iCs w:val="false"/>
          <w:sz w:val="22"/>
          <w:szCs w:val="22"/>
        </w:rPr>
        <w:t xml:space="preserve">Necesario para clonar el proyecto y la variante adaptada del servidor.</w:t>
      </w:r>
    </w:p>
    <w:p>
      <w:pPr>
        <w:pStyle w:val="Heading2"/>
        <w:spacing w:after="140" w:before="240"/>
      </w:pPr>
      <w:r>
        <w:rPr>
          <w:rFonts w:ascii="Arial" w:cs="Arial" w:eastAsia="Arial" w:hAnsi="Arial"/>
          <w:b/>
          <w:bCs/>
          <w:sz w:val="26"/>
          <w:szCs w:val="26"/>
        </w:rPr>
        <w:t xml:space="preserve">Instalación del proyecto</w:t>
      </w:r>
    </w:p>
    <w:p>
      <w:pPr>
        <w:spacing w:after="140" w:line="276"/>
        <w:jc w:val="both"/>
      </w:pPr>
      <w:r>
        <w:rPr>
          <w:rFonts w:ascii="Arial" w:cs="Arial" w:eastAsia="Arial" w:hAnsi="Arial"/>
          <w:b w:val="false"/>
          <w:bCs w:val="false"/>
          <w:i w:val="false"/>
          <w:iCs w:val="false"/>
          <w:sz w:val="22"/>
          <w:szCs w:val="22"/>
        </w:rPr>
        <w:t xml:space="preserve">Desde una terminal nueva, se descarga el proyecto, se crea un entorno virtual de Python y se instalan las dependencias:</w:t>
      </w:r>
    </w:p>
    <w:p>
      <w:pPr>
        <w:shd w:fill="F5F5F5" w:val="clear"/>
        <w:spacing w:after="80" w:line="260"/>
        <w:jc w:val="left"/>
      </w:pPr>
      <w:r>
        <w:rPr>
          <w:rFonts w:ascii="Consolas" w:cs="Consolas" w:eastAsia="Consolas" w:hAnsi="Consolas"/>
          <w:sz w:val="20"/>
          <w:szCs w:val="20"/>
        </w:rPr>
        <w:t xml:space="preserve">git clone &lt;URL_DEL_REPOSITORIO&gt; DavidDiaz_TFG</w:t>
      </w:r>
    </w:p>
    <w:p>
      <w:pPr>
        <w:shd w:fill="F5F5F5" w:val="clear"/>
        <w:spacing w:after="80" w:line="260"/>
        <w:jc w:val="left"/>
      </w:pPr>
      <w:r>
        <w:rPr>
          <w:rFonts w:ascii="Consolas" w:cs="Consolas" w:eastAsia="Consolas" w:hAnsi="Consolas"/>
          <w:sz w:val="20"/>
          <w:szCs w:val="20"/>
        </w:rPr>
        <w:t xml:space="preserve">cd DavidDiaz_TFG</w:t>
      </w:r>
    </w:p>
    <w:p>
      <w:pPr>
        <w:shd w:fill="F5F5F5" w:val="clear"/>
        <w:spacing w:after="80" w:line="260"/>
        <w:jc w:val="left"/>
      </w:pPr>
      <w:r>
        <w:rPr>
          <w:rFonts w:ascii="Consolas" w:cs="Consolas" w:eastAsia="Consolas" w:hAnsi="Consolas"/>
          <w:sz w:val="20"/>
          <w:szCs w:val="20"/>
        </w:rPr>
        <w:t xml:space="preserve">python -m venv .venv</w:t>
      </w:r>
    </w:p>
    <w:p>
      <w:pPr>
        <w:shd w:fill="F5F5F5" w:val="clear"/>
        <w:spacing w:after="80" w:line="260"/>
        <w:jc w:val="left"/>
      </w:pPr>
      <w:r>
        <w:rPr>
          <w:rFonts w:ascii="Consolas" w:cs="Consolas" w:eastAsia="Consolas" w:hAnsi="Consolas"/>
          <w:sz w:val="20"/>
          <w:szCs w:val="20"/>
        </w:rPr>
        <w:t xml:space="preserve">.venv\Scripts\activate</w:t>
      </w:r>
    </w:p>
    <w:p>
      <w:pPr>
        <w:shd w:fill="F5F5F5" w:val="clear"/>
        <w:spacing w:after="80" w:line="260"/>
        <w:jc w:val="left"/>
      </w:pPr>
      <w:r>
        <w:rPr>
          <w:rFonts w:ascii="Consolas" w:cs="Consolas" w:eastAsia="Consolas" w:hAnsi="Consolas"/>
          <w:sz w:val="20"/>
          <w:szCs w:val="20"/>
        </w:rPr>
        <w:t xml:space="preserve">pip install -r requirements.txt</w:t>
      </w:r>
    </w:p>
    <w:p>
      <w:pPr>
        <w:spacing w:after="140" w:line="276"/>
        <w:jc w:val="both"/>
      </w:pPr>
      <w:r>
        <w:rPr>
          <w:rFonts w:ascii="Arial" w:cs="Arial" w:eastAsia="Arial" w:hAnsi="Arial"/>
          <w:b w:val="false"/>
          <w:bCs w:val="false"/>
          <w:i w:val="false"/>
          <w:iCs w:val="false"/>
          <w:sz w:val="22"/>
          <w:szCs w:val="22"/>
        </w:rPr>
        <w:t xml:space="preserve">La última orden instala las versiones de las bibliotecas listadas en requirements.txt. Para reproducir el entorno completo verificado (incluyendo las dependencias transitivas) puede emplearse, en su lugar, requirements.lock.</w:t>
      </w:r>
    </w:p>
    <w:p>
      <w:pPr>
        <w:spacing w:after="140" w:line="276"/>
        <w:jc w:val="both"/>
      </w:pPr>
      <w:r>
        <w:rPr>
          <w:rFonts w:ascii="Arial" w:cs="Arial" w:eastAsia="Arial" w:hAnsi="Arial"/>
          <w:b w:val="false"/>
          <w:bCs w:val="false"/>
          <w:i w:val="false"/>
          <w:iCs w:val="false"/>
          <w:sz w:val="22"/>
          <w:szCs w:val="22"/>
        </w:rPr>
        <w:t xml:space="preserve">Por defecto se instala la edición de PyTorch para CPU. Para ejecutar el entrenamiento sobre una GPU compatible con CUDA, una vez activado el entorno virtual hay que reinstalar PyTorch desde su índice específico:</w:t>
      </w:r>
    </w:p>
    <w:p>
      <w:pPr>
        <w:shd w:fill="F5F5F5" w:val="clear"/>
        <w:spacing w:after="80" w:line="260"/>
        <w:jc w:val="left"/>
      </w:pPr>
      <w:r>
        <w:rPr>
          <w:rFonts w:ascii="Consolas" w:cs="Consolas" w:eastAsia="Consolas" w:hAnsi="Consolas"/>
          <w:sz w:val="20"/>
          <w:szCs w:val="20"/>
        </w:rPr>
        <w:t xml:space="preserve">pip install torch==2.9.1 --index-url https://download.pytorch.org/whl/cu121</w:t>
      </w:r>
    </w:p>
    <w:p>
      <w:pPr>
        <w:pStyle w:val="Heading2"/>
        <w:spacing w:after="140" w:before="240"/>
      </w:pPr>
      <w:r>
        <w:rPr>
          <w:rFonts w:ascii="Arial" w:cs="Arial" w:eastAsia="Arial" w:hAnsi="Arial"/>
          <w:b/>
          <w:bCs/>
          <w:sz w:val="26"/>
          <w:szCs w:val="26"/>
        </w:rPr>
        <w:t xml:space="preserve">Instalación del servidor</w:t>
      </w:r>
    </w:p>
    <w:p>
      <w:pPr>
        <w:spacing w:after="140" w:line="276"/>
        <w:jc w:val="both"/>
      </w:pPr>
      <w:r>
        <w:rPr>
          <w:rFonts w:ascii="Arial" w:cs="Arial" w:eastAsia="Arial" w:hAnsi="Arial"/>
          <w:b w:val="false"/>
          <w:bCs w:val="false"/>
          <w:i w:val="false"/>
          <w:iCs w:val="false"/>
          <w:sz w:val="22"/>
          <w:szCs w:val="22"/>
        </w:rPr>
        <w:t xml:space="preserve">El servidor de Pokémon Showdown no se distribuye con el proyecto (queda excluido por .gitignore por su tamaño y por ser código de terceros). Se clona el fork de VGC-Bench dentro de la carpeta del proyecto, se instalan sus dependencias de Node.js y se compila:</w:t>
      </w:r>
    </w:p>
    <w:p>
      <w:pPr>
        <w:shd w:fill="F5F5F5" w:val="clear"/>
        <w:spacing w:after="80" w:line="260"/>
        <w:jc w:val="left"/>
      </w:pPr>
      <w:r>
        <w:rPr>
          <w:rFonts w:ascii="Consolas" w:cs="Consolas" w:eastAsia="Consolas" w:hAnsi="Consolas"/>
          <w:sz w:val="20"/>
          <w:szCs w:val="20"/>
        </w:rPr>
        <w:t xml:space="preserve">git clone -b vgc-bench https://github.com/cameronangliss/pokemon-showdown.git</w:t>
      </w:r>
    </w:p>
    <w:p>
      <w:pPr>
        <w:shd w:fill="F5F5F5" w:val="clear"/>
        <w:spacing w:after="80" w:line="260"/>
        <w:jc w:val="left"/>
      </w:pPr>
      <w:r>
        <w:rPr>
          <w:rFonts w:ascii="Consolas" w:cs="Consolas" w:eastAsia="Consolas" w:hAnsi="Consolas"/>
          <w:sz w:val="20"/>
          <w:szCs w:val="20"/>
        </w:rPr>
        <w:t xml:space="preserve">cd pokemon-showdown</w:t>
      </w:r>
    </w:p>
    <w:p>
      <w:pPr>
        <w:shd w:fill="F5F5F5" w:val="clear"/>
        <w:spacing w:after="80" w:line="260"/>
        <w:jc w:val="left"/>
      </w:pPr>
      <w:r>
        <w:rPr>
          <w:rFonts w:ascii="Consolas" w:cs="Consolas" w:eastAsia="Consolas" w:hAnsi="Consolas"/>
          <w:sz w:val="20"/>
          <w:szCs w:val="20"/>
        </w:rPr>
        <w:t xml:space="preserve">npm i</w:t>
      </w:r>
    </w:p>
    <w:p>
      <w:pPr>
        <w:shd w:fill="F5F5F5" w:val="clear"/>
        <w:spacing w:after="80" w:line="260"/>
        <w:jc w:val="left"/>
      </w:pPr>
      <w:r>
        <w:rPr>
          <w:rFonts w:ascii="Consolas" w:cs="Consolas" w:eastAsia="Consolas" w:hAnsi="Consolas"/>
          <w:sz w:val="20"/>
          <w:szCs w:val="20"/>
        </w:rPr>
        <w:t xml:space="preserve">node build</w:t>
      </w:r>
    </w:p>
    <w:p>
      <w:pPr>
        <w:spacing w:after="140" w:line="276"/>
        <w:jc w:val="both"/>
      </w:pPr>
      <w:r>
        <w:rPr>
          <w:rFonts w:ascii="Arial" w:cs="Arial" w:eastAsia="Arial" w:hAnsi="Arial"/>
          <w:b w:val="false"/>
          <w:bCs w:val="false"/>
          <w:i w:val="false"/>
          <w:iCs w:val="false"/>
          <w:sz w:val="22"/>
          <w:szCs w:val="22"/>
        </w:rPr>
        <w:t xml:space="preserve">Opcionalmente, para añadir al fork los formatos VGC vigentes que no incluye, se ejecuta desde la raíz del proyecto el script patch_server_formats.py y se recompila el servidor.</w:t>
      </w:r>
    </w:p>
    <w:p>
      <w:pPr>
        <w:pStyle w:val="Heading2"/>
        <w:spacing w:after="140" w:before="240"/>
      </w:pPr>
      <w:r>
        <w:rPr>
          <w:rFonts w:ascii="Arial" w:cs="Arial" w:eastAsia="Arial" w:hAnsi="Arial"/>
          <w:b/>
          <w:bCs/>
          <w:sz w:val="26"/>
          <w:szCs w:val="26"/>
        </w:rPr>
        <w:t xml:space="preserve">Configuración por defecto</w:t>
      </w:r>
    </w:p>
    <w:p>
      <w:pPr>
        <w:spacing w:after="140" w:line="276"/>
        <w:jc w:val="both"/>
      </w:pPr>
      <w:r>
        <w:rPr>
          <w:rFonts w:ascii="Arial" w:cs="Arial" w:eastAsia="Arial" w:hAnsi="Arial"/>
          <w:b w:val="false"/>
          <w:bCs w:val="false"/>
          <w:i w:val="false"/>
          <w:iCs w:val="false"/>
          <w:sz w:val="22"/>
          <w:szCs w:val="22"/>
        </w:rPr>
        <w:t xml:space="preserve">No es necesario configurar nada adicional. El servidor escucha en localhost en el puerto 8000 y los scripts del proyecto se conectan a esa dirección por defecto. Si se desea utilizar otro puerto, todos los scripts admiten el argumento --port. Si se desea utilizar el servidor oficial play.pokemonshowdown.com en lugar del local, se utiliza el argumento --official (solo en play.py).</w:t>
      </w:r>
    </w:p>
    <w:p>
      <w:pPr>
        <w:pStyle w:val="Heading1"/>
        <w:spacing w:after="180" w:before="320"/>
      </w:pPr>
      <w:r>
        <w:rPr>
          <w:rFonts w:ascii="Arial" w:cs="Arial" w:eastAsia="Arial" w:hAnsi="Arial"/>
          <w:b/>
          <w:bCs/>
          <w:sz w:val="32"/>
          <w:szCs w:val="32"/>
        </w:rPr>
        <w:t xml:space="preserve">Estructura del proyecto</w:t>
      </w:r>
    </w:p>
    <w:p>
      <w:pPr>
        <w:spacing w:after="140" w:line="276"/>
        <w:jc w:val="both"/>
      </w:pPr>
      <w:r>
        <w:rPr>
          <w:rFonts w:ascii="Arial" w:cs="Arial" w:eastAsia="Arial" w:hAnsi="Arial"/>
          <w:b w:val="false"/>
          <w:bCs w:val="false"/>
          <w:i w:val="false"/>
          <w:iCs w:val="false"/>
          <w:sz w:val="22"/>
          <w:szCs w:val="22"/>
        </w:rPr>
        <w:t xml:space="preserve">La carpeta del proyecto está organizada de modo que las distintas categorías de archivos (código propio, código de terceros, recursos, configuración) queden separadas en directorios distintos. Su contenido es el siguiente:</w:t>
      </w:r>
    </w:p>
    <w:p>
      <w:pPr>
        <w:shd w:fill="F5F5F5" w:val="clear"/>
        <w:spacing w:after="80" w:line="260"/>
        <w:jc w:val="left"/>
      </w:pPr>
      <w:r>
        <w:rPr>
          <w:rFonts w:ascii="Consolas" w:cs="Consolas" w:eastAsia="Consolas" w:hAnsi="Consolas"/>
          <w:sz w:val="20"/>
          <w:szCs w:val="20"/>
        </w:rPr>
        <w:t xml:space="preserve">DavidDiaz_TFG/</w:t>
      </w:r>
      <w:r>
        <w:br/>
      </w:r>
      <w:r>
        <w:rPr>
          <w:rFonts w:ascii="Consolas" w:cs="Consolas" w:eastAsia="Consolas" w:hAnsi="Consolas"/>
          <w:sz w:val="20"/>
          <w:szCs w:val="20"/>
        </w:rPr>
        <w:t xml:space="preserve">├── src/                          # CÓDIGO FUENTE PROPIO (módulos importables)</w:t>
      </w:r>
      <w:r>
        <w:br/>
      </w:r>
      <w:r>
        <w:rPr>
          <w:rFonts w:ascii="Consolas" w:cs="Consolas" w:eastAsia="Consolas" w:hAnsi="Consolas"/>
          <w:sz w:val="20"/>
          <w:szCs w:val="20"/>
        </w:rPr>
        <w:t xml:space="preserve">│   ├── singles_env.py            # MySinglesEnv: entorno de combates individuales</w:t>
      </w:r>
      <w:r>
        <w:br/>
      </w:r>
      <w:r>
        <w:rPr>
          <w:rFonts w:ascii="Consolas" w:cs="Consolas" w:eastAsia="Consolas" w:hAnsi="Consolas"/>
          <w:sz w:val="20"/>
          <w:szCs w:val="20"/>
        </w:rPr>
        <w:t xml:space="preserve">│   ├── doubles_env.py            # MyDoublesEnv: entorno de combates dobles VGC</w:t>
      </w:r>
      <w:r>
        <w:br/>
      </w:r>
      <w:r>
        <w:rPr>
          <w:rFonts w:ascii="Consolas" w:cs="Consolas" w:eastAsia="Consolas" w:hAnsi="Consolas"/>
          <w:sz w:val="20"/>
          <w:szCs w:val="20"/>
        </w:rPr>
        <w:t xml:space="preserve">│   ├── rl_wrapper.py             # OpponentSamplingEnv: envoltorio de un solo agente</w:t>
      </w:r>
      <w:r>
        <w:br/>
      </w:r>
      <w:r>
        <w:rPr>
          <w:rFonts w:ascii="Consolas" w:cs="Consolas" w:eastAsia="Consolas" w:hAnsi="Consolas"/>
          <w:sz w:val="20"/>
          <w:szCs w:val="20"/>
        </w:rPr>
        <w:t xml:space="preserve">│   ├── features.py               # Construccion de la observacion rica</w:t>
      </w:r>
      <w:r>
        <w:br/>
      </w:r>
      <w:r>
        <w:rPr>
          <w:rFonts w:ascii="Consolas" w:cs="Consolas" w:eastAsia="Consolas" w:hAnsi="Consolas"/>
          <w:sz w:val="20"/>
          <w:szCs w:val="20"/>
        </w:rPr>
        <w:t xml:space="preserve">│   ├── policy.py                 # Argumentos de politica MLP y extractor Transformer</w:t>
      </w:r>
      <w:r>
        <w:br/>
      </w:r>
      <w:r>
        <w:rPr>
          <w:rFonts w:ascii="Consolas" w:cs="Consolas" w:eastAsia="Consolas" w:hAnsi="Consolas"/>
          <w:sz w:val="20"/>
          <w:szCs w:val="20"/>
        </w:rPr>
        <w:t xml:space="preserve">│   ├── callbacks.py              # WinRateCallback para TensorBoard</w:t>
      </w:r>
      <w:r>
        <w:br/>
      </w:r>
      <w:r>
        <w:rPr>
          <w:rFonts w:ascii="Consolas" w:cs="Consolas" w:eastAsia="Consolas" w:hAnsi="Consolas"/>
          <w:sz w:val="20"/>
          <w:szCs w:val="20"/>
        </w:rPr>
        <w:t xml:space="preserve">│   ├── poke_env_patch.py         # Parche de poke-env (Behemoth Blade y Behemoth Bash)</w:t>
      </w:r>
      <w:r>
        <w:br/>
      </w:r>
      <w:r>
        <w:rPr>
          <w:rFonts w:ascii="Consolas" w:cs="Consolas" w:eastAsia="Consolas" w:hAnsi="Consolas"/>
          <w:sz w:val="20"/>
          <w:szCs w:val="20"/>
        </w:rPr>
        <w:t xml:space="preserve">│   └── teams.py                  # Constructor de equipos para los entornos de dobles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train_singles.py              # SCRIPTS DE ENTRADA (propios, raiz del proyecto)</w:t>
      </w:r>
      <w:r>
        <w:br/>
      </w:r>
      <w:r>
        <w:rPr>
          <w:rFonts w:ascii="Consolas" w:cs="Consolas" w:eastAsia="Consolas" w:hAnsi="Consolas"/>
          <w:sz w:val="20"/>
          <w:szCs w:val="20"/>
        </w:rPr>
        <w:t xml:space="preserve">├── train_doubles.py</w:t>
      </w:r>
      <w:r>
        <w:br/>
      </w:r>
      <w:r>
        <w:rPr>
          <w:rFonts w:ascii="Consolas" w:cs="Consolas" w:eastAsia="Consolas" w:hAnsi="Consolas"/>
          <w:sz w:val="20"/>
          <w:szCs w:val="20"/>
        </w:rPr>
        <w:t xml:space="preserve">├── play.py</w:t>
      </w:r>
      <w:r>
        <w:br/>
      </w:r>
      <w:r>
        <w:rPr>
          <w:rFonts w:ascii="Consolas" w:cs="Consolas" w:eastAsia="Consolas" w:hAnsi="Consolas"/>
          <w:sz w:val="20"/>
          <w:szCs w:val="20"/>
        </w:rPr>
        <w:t xml:space="preserve">├── battle_models.py</w:t>
      </w:r>
      <w:r>
        <w:br/>
      </w:r>
      <w:r>
        <w:rPr>
          <w:rFonts w:ascii="Consolas" w:cs="Consolas" w:eastAsia="Consolas" w:hAnsi="Consolas"/>
          <w:sz w:val="20"/>
          <w:szCs w:val="20"/>
        </w:rPr>
        <w:t xml:space="preserve">├── selfplay_from.py</w:t>
      </w:r>
      <w:r>
        <w:br/>
      </w:r>
      <w:r>
        <w:rPr>
          <w:rFonts w:ascii="Consolas" w:cs="Consolas" w:eastAsia="Consolas" w:hAnsi="Consolas"/>
          <w:sz w:val="20"/>
          <w:szCs w:val="20"/>
        </w:rPr>
        <w:t xml:space="preserve">├── plot_metrics.py</w:t>
      </w:r>
      <w:r>
        <w:br/>
      </w:r>
      <w:r>
        <w:rPr>
          <w:rFonts w:ascii="Consolas" w:cs="Consolas" w:eastAsia="Consolas" w:hAnsi="Consolas"/>
          <w:sz w:val="20"/>
          <w:szCs w:val="20"/>
        </w:rPr>
        <w:t xml:space="preserve">├── patch_server_formats.py</w:t>
      </w:r>
      <w:r>
        <w:br/>
      </w:r>
      <w:r>
        <w:rPr>
          <w:rFonts w:ascii="Consolas" w:cs="Consolas" w:eastAsia="Consolas" w:hAnsi="Consolas"/>
          <w:sz w:val="20"/>
          <w:szCs w:val="20"/>
        </w:rPr>
        <w:t xml:space="preserve">├── test_env.py</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teams/                        # RECURSOS (equipos Pokemon en formato Showdown)</w:t>
      </w:r>
      <w:r>
        <w:br/>
      </w:r>
      <w:r>
        <w:rPr>
          <w:rFonts w:ascii="Consolas" w:cs="Consolas" w:eastAsia="Consolas" w:hAnsi="Consolas"/>
          <w:sz w:val="20"/>
          <w:szCs w:val="20"/>
        </w:rPr>
        <w:t xml:space="preserve">│   └── vgc/                      # subcarpetas por formato y por regulacion</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pokemon-showdown/             # CODIGO DE TERCEROS (servidor, Node.js)</w:t>
      </w:r>
      <w:r>
        <w:br/>
      </w:r>
      <w:r>
        <w:rPr>
          <w:rFonts w:ascii="Consolas" w:cs="Consolas" w:eastAsia="Consolas" w:hAnsi="Consolas"/>
          <w:sz w:val="20"/>
          <w:szCs w:val="20"/>
        </w:rPr>
        <w:t xml:space="preserve">│                                   No se distribuye; se clona del fork de VGC-Bench</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models/                       # MODELOS ENTRENADOS (artefactos)</w:t>
      </w:r>
      <w:r>
        <w:br/>
      </w:r>
      <w:r>
        <w:rPr>
          <w:rFonts w:ascii="Consolas" w:cs="Consolas" w:eastAsia="Consolas" w:hAnsi="Consolas"/>
          <w:sz w:val="20"/>
          <w:szCs w:val="20"/>
        </w:rPr>
        <w:t xml:space="preserve">│   ├── singles/&lt;formato&gt;/&lt;policy&gt;/seed&lt;N&gt;/   modelos de singles</w:t>
      </w:r>
      <w:r>
        <w:br/>
      </w:r>
      <w:r>
        <w:rPr>
          <w:rFonts w:ascii="Consolas" w:cs="Consolas" w:eastAsia="Consolas" w:hAnsi="Consolas"/>
          <w:sz w:val="20"/>
          <w:szCs w:val="20"/>
        </w:rPr>
        <w:t xml:space="preserve">│   └── doubles/&lt;formato&gt;/&lt;policy&gt;/seed&lt;N&gt;/   modelos de dobles (y seed&lt;N&gt;_selfplay)</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logs/                         # REGISTROS DE TENSORBOARD (artefactos)</w:t>
      </w:r>
      <w:r>
        <w:br/>
      </w:r>
      <w:r>
        <w:rPr>
          <w:rFonts w:ascii="Consolas" w:cs="Consolas" w:eastAsia="Consolas" w:hAnsi="Consolas"/>
          <w:sz w:val="20"/>
          <w:szCs w:val="20"/>
        </w:rPr>
        <w:t xml:space="preserve">├── metrics/                      # GRAFICAS EXPORTADAS (PNG)</w:t>
      </w:r>
      <w:r>
        <w:br/>
      </w:r>
      <w:r>
        <w:rPr>
          <w:rFonts w:ascii="Consolas" w:cs="Consolas" w:eastAsia="Consolas" w:hAnsi="Consolas"/>
          <w:sz w:val="20"/>
          <w:szCs w:val="20"/>
        </w:rPr>
        <w:t xml:space="preserve">├── replays/                      # REPETICIONES DE COMBATES (HTML / JSON)</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requirements.txt              # CONFIGURACION (dependencias de Python)</w:t>
      </w:r>
      <w:r>
        <w:br/>
      </w:r>
      <w:r>
        <w:rPr>
          <w:rFonts w:ascii="Consolas" w:cs="Consolas" w:eastAsia="Consolas" w:hAnsi="Consolas"/>
          <w:sz w:val="20"/>
          <w:szCs w:val="20"/>
        </w:rPr>
        <w:t xml:space="preserve">├── requirements.lock             # entorno verificado, version exacta de todas las dependencias</w:t>
      </w:r>
      <w:r>
        <w:br/>
      </w:r>
      <w:r>
        <w:rPr>
          <w:rFonts w:ascii="Consolas" w:cs="Consolas" w:eastAsia="Consolas" w:hAnsi="Consolas"/>
          <w:sz w:val="20"/>
          <w:szCs w:val="20"/>
        </w:rPr>
        <w:t xml:space="preserve">├── COMANDOS.txt                  # ayuda de uso diario</w:t>
      </w:r>
      <w:r>
        <w:br/>
      </w:r>
      <w:r>
        <w:rPr>
          <w:rFonts w:ascii="Consolas" w:cs="Consolas" w:eastAsia="Consolas" w:hAnsi="Consolas"/>
          <w:sz w:val="20"/>
          <w:szCs w:val="20"/>
        </w:rPr>
        <w:t xml:space="preserve">├── INSTALACION.txt               # guia de instalacion desde cero</w:t>
      </w:r>
      <w:r>
        <w:br/>
      </w:r>
      <w:r>
        <w:rPr>
          <w:rFonts w:ascii="Consolas" w:cs="Consolas" w:eastAsia="Consolas" w:hAnsi="Consolas"/>
          <w:sz w:val="20"/>
          <w:szCs w:val="20"/>
        </w:rPr>
        <w:t xml:space="preserve">├── README.md                     # presentacion del proyecto</w:t>
      </w:r>
      <w:r>
        <w:br/>
      </w:r>
      <w:r>
        <w:rPr>
          <w:rFonts w:ascii="Consolas" w:cs="Consolas" w:eastAsia="Consolas" w:hAnsi="Consolas"/>
          <w:sz w:val="20"/>
          <w:szCs w:val="20"/>
        </w:rPr>
        <w:t xml:space="preserve">└── .gitignore                    # exclusiones de Git</w:t>
      </w:r>
    </w:p>
    <w:p>
      <w:pPr>
        <w:spacing w:after="140" w:line="276"/>
        <w:jc w:val="both"/>
      </w:pPr>
      <w:r>
        <w:rPr>
          <w:rFonts w:ascii="Arial" w:cs="Arial" w:eastAsia="Arial" w:hAnsi="Arial"/>
          <w:b w:val="false"/>
          <w:bCs w:val="false"/>
          <w:i w:val="false"/>
          <w:iCs w:val="false"/>
          <w:sz w:val="22"/>
          <w:szCs w:val="22"/>
        </w:rPr>
        <w:t xml:space="preserve">Como se aprecia en el árbol anterior, el código propio del proyecto queda recogido bajo src/ (módulos importables) y en los scripts de entrada de la raíz; el código de terceros principal (el servidor) se ubica en su propia carpeta pokemon-showdown/; los recursos en teams/; los archivos de configuración (dependencias y guías) en la raíz, y los artefactos generados durante la ejecución (modelos, registros, gráficas y repeticiones) en sus respectivas carpetas. Las dependencias instaladas con pip se gestionan en un entorno virtual aislado en .venv/ (no se distribuye, se reconstruye con requirements.txt).</w:t>
      </w:r>
    </w:p>
    <w:p>
      <w:pPr>
        <w:pStyle w:val="Heading1"/>
        <w:spacing w:after="180" w:before="320"/>
      </w:pPr>
      <w:r>
        <w:rPr>
          <w:rFonts w:ascii="Arial" w:cs="Arial" w:eastAsia="Arial" w:hAnsi="Arial"/>
          <w:b/>
          <w:bCs/>
          <w:sz w:val="32"/>
          <w:szCs w:val="32"/>
        </w:rPr>
        <w:t xml:space="preserve">Otra documentación</w:t>
      </w:r>
    </w:p>
    <w:p>
      <w:pPr>
        <w:spacing w:after="140" w:line="276"/>
        <w:jc w:val="both"/>
      </w:pPr>
      <w:r>
        <w:rPr>
          <w:rFonts w:ascii="Arial" w:cs="Arial" w:eastAsia="Arial" w:hAnsi="Arial"/>
          <w:b w:val="false"/>
          <w:bCs w:val="false"/>
          <w:i w:val="false"/>
          <w:iCs w:val="false"/>
          <w:sz w:val="22"/>
          <w:szCs w:val="22"/>
        </w:rPr>
        <w:t xml:space="preserve">Junto al código fuente se aporta documentación técnica complementaria que ha resultado útil durante el desarrollo. Se distinguen dos grupos según dónde quedan ubicados en la entrega final.</w:t>
      </w:r>
    </w:p>
    <w:p>
      <w:pPr>
        <w:pStyle w:val="Heading2"/>
        <w:spacing w:after="140" w:before="240"/>
      </w:pPr>
      <w:r>
        <w:rPr>
          <w:rFonts w:ascii="Arial" w:cs="Arial" w:eastAsia="Arial" w:hAnsi="Arial"/>
          <w:b/>
          <w:bCs/>
          <w:sz w:val="26"/>
          <w:szCs w:val="26"/>
        </w:rPr>
        <w:t xml:space="preserve">Archivos incluidos dentro del propio proyecto</w:t>
      </w:r>
    </w:p>
    <w:p>
      <w:pPr>
        <w:spacing w:after="140" w:line="276"/>
        <w:jc w:val="both"/>
      </w:pPr>
      <w:r>
        <w:rPr>
          <w:rFonts w:ascii="Arial" w:cs="Arial" w:eastAsia="Arial" w:hAnsi="Arial"/>
          <w:b w:val="false"/>
          <w:bCs w:val="false"/>
          <w:i w:val="false"/>
          <w:iCs w:val="false"/>
          <w:sz w:val="22"/>
          <w:szCs w:val="22"/>
        </w:rPr>
        <w:t xml:space="preserve">Los cuatro archivos siguientes viajan junto al código fuente, en la raíz del propio proyecto, de modo que cualquiera que descomprima las fuentes los encuentra inmediatamente:</w:t>
      </w:r>
    </w:p>
    <w:p>
      <w:pPr>
        <w:pStyle w:val="ListParagraph"/>
        <w:numPr>
          <w:ilvl w:val="0"/>
          <w:numId w:val="2"/>
        </w:numPr>
        <w:spacing w:after="80" w:line="276"/>
        <w:jc w:val="both"/>
      </w:pPr>
      <w:r>
        <w:rPr>
          <w:rFonts w:ascii="Arial" w:cs="Arial" w:eastAsia="Arial" w:hAnsi="Arial"/>
          <w:b/>
          <w:bCs/>
          <w:i w:val="false"/>
          <w:iCs w:val="false"/>
          <w:sz w:val="22"/>
          <w:szCs w:val="22"/>
        </w:rPr>
        <w:t xml:space="preserve">INSTALACION.txt. </w:t>
      </w:r>
      <w:r>
        <w:rPr>
          <w:rFonts w:ascii="Arial" w:cs="Arial" w:eastAsia="Arial" w:hAnsi="Arial"/>
          <w:b w:val="false"/>
          <w:bCs w:val="false"/>
          <w:i w:val="false"/>
          <w:iCs w:val="false"/>
          <w:sz w:val="22"/>
          <w:szCs w:val="22"/>
        </w:rPr>
        <w:t xml:space="preserve">Guía paso a paso para reinstalar el proyecto en un ordenador sin nada previamente instalado.</w:t>
      </w:r>
    </w:p>
    <w:p>
      <w:pPr>
        <w:pStyle w:val="ListParagraph"/>
        <w:numPr>
          <w:ilvl w:val="0"/>
          <w:numId w:val="2"/>
        </w:numPr>
        <w:spacing w:after="80" w:line="276"/>
        <w:jc w:val="both"/>
      </w:pPr>
      <w:r>
        <w:rPr>
          <w:rFonts w:ascii="Arial" w:cs="Arial" w:eastAsia="Arial" w:hAnsi="Arial"/>
          <w:b/>
          <w:bCs/>
          <w:i w:val="false"/>
          <w:iCs w:val="false"/>
          <w:sz w:val="22"/>
          <w:szCs w:val="22"/>
        </w:rPr>
        <w:t xml:space="preserve">COMANDOS.txt. </w:t>
      </w:r>
      <w:r>
        <w:rPr>
          <w:rFonts w:ascii="Arial" w:cs="Arial" w:eastAsia="Arial" w:hAnsi="Arial"/>
          <w:b w:val="false"/>
          <w:bCs w:val="false"/>
          <w:i w:val="false"/>
          <w:iCs w:val="false"/>
          <w:sz w:val="22"/>
          <w:szCs w:val="22"/>
        </w:rPr>
        <w:t xml:space="preserve">Recopilación ordenada por temas de los comandos de uso diario del proyecto: entrenar, jugar, enfrentar modelos, ver el progreso en TensorBoard, exportar gráficas y depurar errores.</w:t>
      </w:r>
    </w:p>
    <w:p>
      <w:pPr>
        <w:pStyle w:val="ListParagraph"/>
        <w:numPr>
          <w:ilvl w:val="0"/>
          <w:numId w:val="2"/>
        </w:numPr>
        <w:spacing w:after="80" w:line="276"/>
        <w:jc w:val="both"/>
      </w:pPr>
      <w:r>
        <w:rPr>
          <w:rFonts w:ascii="Arial" w:cs="Arial" w:eastAsia="Arial" w:hAnsi="Arial"/>
          <w:b/>
          <w:bCs/>
          <w:i w:val="false"/>
          <w:iCs w:val="false"/>
          <w:sz w:val="22"/>
          <w:szCs w:val="22"/>
        </w:rPr>
        <w:t xml:space="preserve">requirements.txt y requirements.lock. </w:t>
      </w:r>
      <w:r>
        <w:rPr>
          <w:rFonts w:ascii="Arial" w:cs="Arial" w:eastAsia="Arial" w:hAnsi="Arial"/>
          <w:b w:val="false"/>
          <w:bCs w:val="false"/>
          <w:i w:val="false"/>
          <w:iCs w:val="false"/>
          <w:sz w:val="22"/>
          <w:szCs w:val="22"/>
        </w:rPr>
        <w:t xml:space="preserve">Especificación de las dependencias de Python, con sus versiones, lo que permite reconstruir el entorno completo en otra máquina.</w:t>
      </w:r>
    </w:p>
    <w:p>
      <w:pPr>
        <w:pStyle w:val="ListParagraph"/>
        <w:numPr>
          <w:ilvl w:val="0"/>
          <w:numId w:val="2"/>
        </w:numPr>
        <w:spacing w:after="80" w:line="276"/>
        <w:jc w:val="both"/>
      </w:pPr>
      <w:r>
        <w:rPr>
          <w:rFonts w:ascii="Arial" w:cs="Arial" w:eastAsia="Arial" w:hAnsi="Arial"/>
          <w:b/>
          <w:bCs/>
          <w:i w:val="false"/>
          <w:iCs w:val="false"/>
          <w:sz w:val="22"/>
          <w:szCs w:val="22"/>
        </w:rPr>
        <w:t xml:space="preserve">README.md. </w:t>
      </w:r>
      <w:r>
        <w:rPr>
          <w:rFonts w:ascii="Arial" w:cs="Arial" w:eastAsia="Arial" w:hAnsi="Arial"/>
          <w:b w:val="false"/>
          <w:bCs w:val="false"/>
          <w:i w:val="false"/>
          <w:iCs w:val="false"/>
          <w:sz w:val="22"/>
          <w:szCs w:val="22"/>
        </w:rPr>
        <w:t xml:space="preserve">Presentación breve del proyecto, con un resumen de qué hace, cómo se instala y cómo se ejecuta.</w:t>
      </w:r>
    </w:p>
    <w:p>
      <w:pPr>
        <w:pStyle w:val="Heading2"/>
        <w:spacing w:after="140" w:before="240"/>
      </w:pPr>
      <w:r>
        <w:rPr>
          <w:rFonts w:ascii="Arial" w:cs="Arial" w:eastAsia="Arial" w:hAnsi="Arial"/>
          <w:b/>
          <w:bCs/>
          <w:sz w:val="26"/>
          <w:szCs w:val="26"/>
        </w:rPr>
        <w:t xml:space="preserve">Carpetas entregadas aparte, fuera del proyecto</w:t>
      </w:r>
    </w:p>
    <w:p>
      <w:pPr>
        <w:spacing w:after="140" w:line="276"/>
        <w:jc w:val="both"/>
      </w:pPr>
      <w:r>
        <w:rPr>
          <w:rFonts w:ascii="Arial" w:cs="Arial" w:eastAsia="Arial" w:hAnsi="Arial"/>
          <w:b w:val="false"/>
          <w:bCs w:val="false"/>
          <w:i w:val="false"/>
          <w:iCs w:val="false"/>
          <w:sz w:val="22"/>
          <w:szCs w:val="22"/>
        </w:rPr>
        <w:t xml:space="preserve">Las dos carpetas siguientes recogen material generado por el agente durante el entrenamiento y la evaluación. No forman parte de las fuentes y se entregan por separado dentro del Anexo C, junto al proyecto pero fuera de él:</w:t>
      </w:r>
    </w:p>
    <w:p>
      <w:pPr>
        <w:pStyle w:val="ListParagraph"/>
        <w:numPr>
          <w:ilvl w:val="0"/>
          <w:numId w:val="2"/>
        </w:numPr>
        <w:spacing w:after="80" w:line="276"/>
        <w:jc w:val="both"/>
      </w:pPr>
      <w:r>
        <w:rPr>
          <w:rFonts w:ascii="Arial" w:cs="Arial" w:eastAsia="Arial" w:hAnsi="Arial"/>
          <w:b/>
          <w:bCs/>
          <w:i w:val="false"/>
          <w:iCs w:val="false"/>
          <w:sz w:val="22"/>
          <w:szCs w:val="22"/>
        </w:rPr>
        <w:t xml:space="preserve">Carpeta replays/. </w:t>
      </w:r>
      <w:r>
        <w:rPr>
          <w:rFonts w:ascii="Arial" w:cs="Arial" w:eastAsia="Arial" w:hAnsi="Arial"/>
          <w:b w:val="false"/>
          <w:bCs w:val="false"/>
          <w:i w:val="false"/>
          <w:iCs w:val="false"/>
          <w:sz w:val="22"/>
          <w:szCs w:val="22"/>
        </w:rPr>
        <w:t xml:space="preserve">Repeticiones de combates del agente entrenado, en el formato propio de Pokémon Showdown (archivo HTML autocontenido por combate, o JSON). Estas repeticiones pueden visualizarse subiendo el archivo a play.pokemonshowdown.com/replay o reproduciéndolo directamente en un navegador. Documentan, sin necesidad de ejecutar el proyecto, el comportamiento que el agente exhibe tras el entrenamiento.</w:t>
      </w:r>
    </w:p>
    <w:p>
      <w:pPr>
        <w:pStyle w:val="ListParagraph"/>
        <w:numPr>
          <w:ilvl w:val="0"/>
          <w:numId w:val="2"/>
        </w:numPr>
        <w:spacing w:after="80" w:line="276"/>
        <w:jc w:val="both"/>
      </w:pPr>
      <w:r>
        <w:rPr>
          <w:rFonts w:ascii="Arial" w:cs="Arial" w:eastAsia="Arial" w:hAnsi="Arial"/>
          <w:b/>
          <w:bCs/>
          <w:i w:val="false"/>
          <w:iCs w:val="false"/>
          <w:sz w:val="22"/>
          <w:szCs w:val="22"/>
        </w:rPr>
        <w:t xml:space="preserve">Carpeta metrics/. </w:t>
      </w:r>
      <w:r>
        <w:rPr>
          <w:rFonts w:ascii="Arial" w:cs="Arial" w:eastAsia="Arial" w:hAnsi="Arial"/>
          <w:b w:val="false"/>
          <w:bCs w:val="false"/>
          <w:i w:val="false"/>
          <w:iCs w:val="false"/>
          <w:sz w:val="22"/>
          <w:szCs w:val="22"/>
        </w:rPr>
        <w:t xml:space="preserve">Gráficas de las métricas de entrenamiento exportadas desde TensorBoard a PNG (tasa de victorias móvil, recompensa media, varianza explicada, divergencia KL, etc.). Son las mismas figuras incluidas en la memoria, suministradas también como ficheros sueltos para facilitar su inspección a tamaño original.</w:t>
      </w:r>
    </w:p>
    <w:p>
      <w:pPr>
        <w:spacing w:after="140" w:line="276"/>
        <w:jc w:val="both"/>
      </w:pPr>
      <w:r>
        <w:rPr>
          <w:rFonts w:ascii="Arial" w:cs="Arial" w:eastAsia="Arial" w:hAnsi="Arial"/>
          <w:b w:val="false"/>
          <w:bCs w:val="false"/>
          <w:i w:val="false"/>
          <w:iCs w:val="false"/>
          <w:sz w:val="22"/>
          <w:szCs w:val="22"/>
        </w:rPr>
        <w:t xml:space="preserve">Tanto los archivos del primer grupo como las carpetas del segundo, junto con la documentación extraída automáticamente del código fuente con pdoc y el binario distribuible, se entregan en el Anexo C — Archivos del proyecto.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2026-05-30T20:11:27.140Z</dcterms:created>
  <dcterms:modified xsi:type="dcterms:W3CDTF">2026-05-30T20:11:27.141Z</dcterms:modified>
</cp:coreProperties>
</file>

<file path=docProps/custom.xml><?xml version="1.0" encoding="utf-8"?>
<Properties xmlns="http://schemas.openxmlformats.org/officeDocument/2006/custom-properties" xmlns:vt="http://schemas.openxmlformats.org/officeDocument/2006/docPropsVTypes"/>
</file>