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6E20" w14:paraId="75A57CB3" w14:textId="77777777">
        <w:tc>
          <w:tcPr>
            <w:tcW w:w="9360" w:type="dxa"/>
            <w:tcBorders>
              <w:top w:val="none" w:sz="0" w:space="0" w:color="FFFFFF"/>
              <w:left w:val="none" w:sz="0" w:space="0" w:color="FFFFFF"/>
              <w:bottom w:val="none" w:sz="0" w:space="0" w:color="FFFFFF"/>
              <w:right w:val="none" w:sz="0" w:space="0" w:color="FFFFFF"/>
            </w:tcBorders>
            <w:shd w:val="clear" w:color="auto" w:fill="1E2761"/>
            <w:tcMar>
              <w:top w:w="180" w:type="dxa"/>
              <w:left w:w="240" w:type="dxa"/>
              <w:bottom w:w="180" w:type="dxa"/>
              <w:right w:w="240" w:type="dxa"/>
            </w:tcMar>
          </w:tcPr>
          <w:p w14:paraId="0FB7497F" w14:textId="77777777" w:rsidR="00606E20" w:rsidRDefault="00000000">
            <w:pPr>
              <w:jc w:val="center"/>
            </w:pPr>
            <w:r>
              <w:rPr>
                <w:b/>
                <w:bCs/>
                <w:color w:val="FFFFFF"/>
                <w:sz w:val="32"/>
                <w:szCs w:val="32"/>
              </w:rPr>
              <w:t>Cross-Sectional Equity Return Prediction</w:t>
            </w:r>
          </w:p>
          <w:p w14:paraId="058B5838" w14:textId="056289F0" w:rsidR="00606E20" w:rsidRDefault="005B7CA7" w:rsidP="005B7CA7">
            <w:pPr>
              <w:spacing w:before="60"/>
            </w:pPr>
            <w:r>
              <w:rPr>
                <w:color w:val="A0D8EF"/>
                <w:sz w:val="20"/>
                <w:szCs w:val="20"/>
              </w:rPr>
              <w:t xml:space="preserve">                                                          Project Summary Report</w:t>
            </w:r>
          </w:p>
          <w:p w14:paraId="4DC40FF8" w14:textId="77777777" w:rsidR="00606E20" w:rsidRDefault="00000000">
            <w:pPr>
              <w:spacing w:before="60"/>
              <w:jc w:val="center"/>
            </w:pPr>
            <w:r>
              <w:rPr>
                <w:color w:val="CADCFC"/>
                <w:sz w:val="18"/>
                <w:szCs w:val="18"/>
              </w:rPr>
              <w:t>Ali Dib  ·  Chris Wehbe  ·  Anthony Charbel  ·  Kevin Khoury</w:t>
            </w:r>
          </w:p>
        </w:tc>
      </w:tr>
    </w:tbl>
    <w:p w14:paraId="68ADD689" w14:textId="77777777" w:rsidR="00606E20" w:rsidRDefault="00606E20">
      <w:pPr>
        <w:spacing w:after="80"/>
      </w:pPr>
    </w:p>
    <w:p w14:paraId="700C3B2E" w14:textId="77777777" w:rsidR="00606E20" w:rsidRDefault="00000000">
      <w:pPr>
        <w:pBdr>
          <w:bottom w:val="single" w:sz="6" w:space="1" w:color="028090"/>
        </w:pBdr>
        <w:spacing w:before="240" w:after="100"/>
      </w:pPr>
      <w:r>
        <w:rPr>
          <w:b/>
          <w:bCs/>
          <w:color w:val="1E2761"/>
          <w:sz w:val="26"/>
          <w:szCs w:val="26"/>
        </w:rPr>
        <w:t>Data Source</w:t>
      </w:r>
    </w:p>
    <w:p w14:paraId="204745C1" w14:textId="77777777" w:rsidR="00606E20" w:rsidRDefault="00000000">
      <w:pPr>
        <w:spacing w:before="40" w:after="60"/>
      </w:pPr>
      <w:r>
        <w:rPr>
          <w:color w:val="1C2833"/>
        </w:rPr>
        <w:t>Stock price data (OHLCV, daily) was downloaded for the S&amp;P 100 universe using the yfinance API, covering the period March 2015 to December 2024. After cleaning (deduplication, chronological sorting, price validation) the dataset comprised 242,550 rows across approximately 100 tickers. The data was split chronologically into training (80%), validation (10%), and test (10%) sets, producing 194,040 training rows, 48,510 validation rows, and 48,510 test rows. No random shuffling was applied at any stage. A known limitation is survivorship bias: yfinance only returns current S&amp;P 100 constituents, meaning stocks delisted or removed during the study period are absent from the data. This biases returns upward and is acknowledged as an upper bound on real-world performance.</w:t>
      </w:r>
    </w:p>
    <w:p w14:paraId="694BC245" w14:textId="77777777" w:rsidR="00606E20" w:rsidRDefault="00606E20">
      <w:pPr>
        <w:spacing w:after="80"/>
      </w:pPr>
    </w:p>
    <w:p w14:paraId="1A68C402" w14:textId="77777777" w:rsidR="00606E20" w:rsidRDefault="00000000">
      <w:pPr>
        <w:pBdr>
          <w:bottom w:val="single" w:sz="6" w:space="1" w:color="028090"/>
        </w:pBdr>
        <w:spacing w:before="240" w:after="100"/>
      </w:pPr>
      <w:r>
        <w:rPr>
          <w:b/>
          <w:bCs/>
          <w:color w:val="1E2761"/>
          <w:sz w:val="26"/>
          <w:szCs w:val="26"/>
        </w:rPr>
        <w:t>Approach</w:t>
      </w:r>
    </w:p>
    <w:p w14:paraId="40344CA1" w14:textId="77777777" w:rsidR="00606E20" w:rsidRDefault="00000000">
      <w:pPr>
        <w:spacing w:before="180" w:after="80"/>
      </w:pPr>
      <w:r>
        <w:rPr>
          <w:b/>
          <w:bCs/>
          <w:color w:val="028090"/>
          <w:sz w:val="22"/>
          <w:szCs w:val="22"/>
        </w:rPr>
        <w:t>Problem Framing</w:t>
      </w:r>
    </w:p>
    <w:p w14:paraId="316C9667" w14:textId="77777777" w:rsidR="00606E20" w:rsidRDefault="00000000">
      <w:pPr>
        <w:spacing w:before="40" w:after="60"/>
      </w:pPr>
      <w:r>
        <w:rPr>
          <w:color w:val="1C2833"/>
        </w:rPr>
        <w:t>Rather than predicting the absolute direction of the market, the project frames equity return prediction as a cross-sectional ranking problem: for each trading day, predict which stocks will outperform their peers over the next 5 trading days, then construct a long-short portfolio accordingly. This is the standard approach in systematic quantitative equity research.</w:t>
      </w:r>
    </w:p>
    <w:p w14:paraId="2DD2C60F" w14:textId="77777777" w:rsidR="00606E20" w:rsidRDefault="00000000">
      <w:pPr>
        <w:spacing w:before="180" w:after="80"/>
      </w:pPr>
      <w:r>
        <w:rPr>
          <w:b/>
          <w:bCs/>
          <w:color w:val="028090"/>
          <w:sz w:val="22"/>
          <w:szCs w:val="22"/>
        </w:rPr>
        <w:t>Feature Engineering</w:t>
      </w:r>
    </w:p>
    <w:p w14:paraId="0A0502B9" w14:textId="77777777" w:rsidR="00606E20" w:rsidRDefault="00000000">
      <w:pPr>
        <w:spacing w:before="40" w:after="60"/>
      </w:pPr>
      <w:r>
        <w:rPr>
          <w:color w:val="1C2833"/>
        </w:rPr>
        <w:t>Fourteen cross-sectional features were engineered from raw OHLCV data, grouped into four categories: momentum signals (1-day, 5-day, 20-day, 60-day returns), risk and volatility signals (20-day realized volatility, volatility regime, risk-adjusted return), liquidity signals (20-day average volume, volume surprise), and engineered interaction features (momentum ratios, trend consistency, cross-sectional return rank, feature interactions). All features were z-scored across the stock universe per date to normalize relative differences and remove market-wide level effects — a critical step for cross-sectional models.</w:t>
      </w:r>
    </w:p>
    <w:p w14:paraId="7D461B71" w14:textId="77777777" w:rsidR="00606E20" w:rsidRDefault="00000000">
      <w:pPr>
        <w:spacing w:before="180" w:after="80"/>
      </w:pPr>
      <w:r>
        <w:rPr>
          <w:b/>
          <w:bCs/>
          <w:color w:val="028090"/>
          <w:sz w:val="22"/>
          <w:szCs w:val="22"/>
        </w:rPr>
        <w:t>Evaluation Metrics</w:t>
      </w:r>
    </w:p>
    <w:p w14:paraId="0597ACA6" w14:textId="77777777" w:rsidR="00606E20" w:rsidRDefault="00000000">
      <w:pPr>
        <w:spacing w:before="40" w:after="60"/>
      </w:pPr>
      <w:r>
        <w:rPr>
          <w:color w:val="1C2833"/>
        </w:rPr>
        <w:t>Given that equity return prediction is fundamentally a ranking problem with near-zero R², standard regression metrics such as MSE and R² are insufficient. The following metrics were used:</w:t>
      </w:r>
    </w:p>
    <w:p w14:paraId="26C713AE" w14:textId="77777777" w:rsidR="00606E20" w:rsidRDefault="00000000">
      <w:pPr>
        <w:pStyle w:val="ListParagraph"/>
        <w:numPr>
          <w:ilvl w:val="0"/>
          <w:numId w:val="2"/>
        </w:numPr>
        <w:spacing w:before="30" w:after="30"/>
      </w:pPr>
      <w:r>
        <w:rPr>
          <w:color w:val="1C2833"/>
        </w:rPr>
        <w:t>Information Coefficient (IC): Spearman rank correlation between predicted and realised returns per period. Threshold: IC &gt; 0.02 is considered a viable signal (Grinold &amp; Kahn, Active Portfolio Management, 1999).</w:t>
      </w:r>
    </w:p>
    <w:p w14:paraId="3E4AB69B" w14:textId="77777777" w:rsidR="00606E20" w:rsidRDefault="00000000">
      <w:pPr>
        <w:pStyle w:val="ListParagraph"/>
        <w:numPr>
          <w:ilvl w:val="0"/>
          <w:numId w:val="2"/>
        </w:numPr>
        <w:spacing w:before="30" w:after="30"/>
      </w:pPr>
      <w:r>
        <w:rPr>
          <w:color w:val="1C2833"/>
        </w:rPr>
        <w:t>IC Information Ratio (ICIR): mean IC divided by standard deviation of IC. Measures signal consistency. Threshold: ICIR &gt; 0.5 indicates a tradeable signal (Grinold, 1994).</w:t>
      </w:r>
    </w:p>
    <w:p w14:paraId="534C1B38" w14:textId="77777777" w:rsidR="00606E20" w:rsidRDefault="00000000">
      <w:pPr>
        <w:pStyle w:val="ListParagraph"/>
        <w:numPr>
          <w:ilvl w:val="0"/>
          <w:numId w:val="2"/>
        </w:numPr>
        <w:spacing w:before="30" w:after="30"/>
      </w:pPr>
      <w:r>
        <w:rPr>
          <w:color w:val="1C2833"/>
        </w:rPr>
        <w:t>Portfolio Sharpe Ratio: annualised risk-adjusted return of the long-short portfolio net of 10 bps transaction costs per rebalancing period, using 52 periods per year (weekly rebalancing).</w:t>
      </w:r>
    </w:p>
    <w:p w14:paraId="29BD150D" w14:textId="77777777" w:rsidR="00606E20" w:rsidRDefault="00000000">
      <w:pPr>
        <w:pStyle w:val="ListParagraph"/>
        <w:numPr>
          <w:ilvl w:val="0"/>
          <w:numId w:val="2"/>
        </w:numPr>
        <w:spacing w:before="30" w:after="30"/>
      </w:pPr>
      <w:r>
        <w:rPr>
          <w:color w:val="1C2833"/>
        </w:rPr>
        <w:t>Cumulative return and max drawdown of the long-short portfolio over the evaluation period.</w:t>
      </w:r>
    </w:p>
    <w:p w14:paraId="55DD682A" w14:textId="77777777" w:rsidR="00606E20" w:rsidRDefault="00000000">
      <w:pPr>
        <w:spacing w:before="180" w:after="80"/>
      </w:pPr>
      <w:r>
        <w:rPr>
          <w:b/>
          <w:bCs/>
          <w:color w:val="028090"/>
          <w:sz w:val="22"/>
          <w:szCs w:val="22"/>
        </w:rPr>
        <w:t>Modeling</w:t>
      </w:r>
    </w:p>
    <w:p w14:paraId="29F2084C" w14:textId="77777777" w:rsidR="00606E20" w:rsidRDefault="00000000">
      <w:pPr>
        <w:spacing w:before="40" w:after="60"/>
      </w:pPr>
      <w:r>
        <w:rPr>
          <w:color w:val="1C2833"/>
        </w:rPr>
        <w:t>Eight model families were trained and evaluated using strict temporal validation. Hyperparameters were tuned using TimeSeriesSplit cross-validation on training data only. The following model hierarchy was observed:</w:t>
      </w:r>
    </w:p>
    <w:p w14:paraId="45351ACF" w14:textId="77777777" w:rsidR="00606E20" w:rsidRDefault="00606E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700"/>
        <w:gridCol w:w="1500"/>
        <w:gridCol w:w="2360"/>
      </w:tblGrid>
      <w:tr w:rsidR="00606E20" w14:paraId="4C3A5E53" w14:textId="77777777">
        <w:tc>
          <w:tcPr>
            <w:tcW w:w="21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15250D1" w14:textId="77777777" w:rsidR="00606E20" w:rsidRDefault="00000000">
            <w:r>
              <w:rPr>
                <w:b/>
                <w:bCs/>
                <w:color w:val="FFFFFF"/>
                <w:sz w:val="18"/>
                <w:szCs w:val="18"/>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6DF31EB1" w14:textId="77777777" w:rsidR="00606E20" w:rsidRDefault="00000000">
            <w:r>
              <w:rPr>
                <w:b/>
                <w:bCs/>
                <w:color w:val="FFFFFF"/>
                <w:sz w:val="18"/>
                <w:szCs w:val="18"/>
              </w:rPr>
              <w:t>IC Mean (val)</w:t>
            </w:r>
          </w:p>
        </w:tc>
        <w:tc>
          <w:tcPr>
            <w:tcW w:w="17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2ED520E" w14:textId="77777777" w:rsidR="00606E20" w:rsidRDefault="00000000">
            <w:r>
              <w:rPr>
                <w:b/>
                <w:bCs/>
                <w:color w:val="FFFFFF"/>
                <w:sz w:val="18"/>
                <w:szCs w:val="18"/>
              </w:rPr>
              <w:t>Sharpe (val)</w:t>
            </w:r>
          </w:p>
        </w:tc>
        <w:tc>
          <w:tcPr>
            <w:tcW w:w="1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571B057" w14:textId="77777777" w:rsidR="00606E20" w:rsidRDefault="00000000">
            <w:r>
              <w:rPr>
                <w:b/>
                <w:bCs/>
                <w:color w:val="FFFFFF"/>
                <w:sz w:val="18"/>
                <w:szCs w:val="18"/>
              </w:rPr>
              <w:t>IC Stable</w:t>
            </w:r>
          </w:p>
        </w:tc>
        <w:tc>
          <w:tcPr>
            <w:tcW w:w="23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7586B77E" w14:textId="77777777" w:rsidR="00606E20" w:rsidRDefault="00000000">
            <w:r>
              <w:rPr>
                <w:b/>
                <w:bCs/>
                <w:color w:val="FFFFFF"/>
                <w:sz w:val="18"/>
                <w:szCs w:val="18"/>
              </w:rPr>
              <w:t>Verdict</w:t>
            </w:r>
          </w:p>
        </w:tc>
      </w:tr>
      <w:tr w:rsidR="00606E20" w14:paraId="7ED4C21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41723C" w14:textId="77777777" w:rsidR="00606E20" w:rsidRDefault="00000000">
            <w:r>
              <w:rPr>
                <w:color w:val="1C2833"/>
                <w:sz w:val="18"/>
                <w:szCs w:val="18"/>
              </w:rPr>
              <w:t>ElasticNet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C87111" w14:textId="77777777" w:rsidR="00606E20" w:rsidRDefault="00000000">
            <w:r>
              <w:rPr>
                <w:color w:val="1C2833"/>
                <w:sz w:val="18"/>
                <w:szCs w:val="18"/>
              </w:rPr>
              <w:t>0.045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A66A05" w14:textId="77777777" w:rsidR="00606E20" w:rsidRDefault="00000000">
            <w:r>
              <w:rPr>
                <w:color w:val="1C2833"/>
                <w:sz w:val="18"/>
                <w:szCs w:val="18"/>
              </w:rPr>
              <w:t>1.43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3E41A4" w14:textId="77777777" w:rsidR="00606E20" w:rsidRDefault="00000000">
            <w:r>
              <w:rPr>
                <w:color w:val="1C2833"/>
                <w:sz w:val="18"/>
                <w:szCs w:val="18"/>
              </w:rPr>
              <w:t>Yes (2023+2024)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692C4A" w14:textId="77777777" w:rsidR="00606E20" w:rsidRDefault="00000000">
            <w:r>
              <w:rPr>
                <w:color w:val="1C2833"/>
                <w:sz w:val="18"/>
                <w:szCs w:val="18"/>
              </w:rPr>
              <w:t>In ensemble</w:t>
            </w:r>
          </w:p>
        </w:tc>
      </w:tr>
      <w:tr w:rsidR="00606E20" w14:paraId="6C9335CB" w14:textId="77777777">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326B077" w14:textId="77777777" w:rsidR="00606E20" w:rsidRDefault="00000000">
            <w:r>
              <w:rPr>
                <w:color w:val="1C2833"/>
                <w:sz w:val="18"/>
                <w:szCs w:val="18"/>
              </w:rPr>
              <w:t>Lasso</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E4CA36A" w14:textId="77777777" w:rsidR="00606E20" w:rsidRDefault="00000000">
            <w:r>
              <w:rPr>
                <w:color w:val="1C2833"/>
                <w:sz w:val="18"/>
                <w:szCs w:val="18"/>
              </w:rPr>
              <w:t>0.042</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D25FFB6" w14:textId="77777777" w:rsidR="00606E20" w:rsidRDefault="00000000">
            <w:r>
              <w:rPr>
                <w:color w:val="1C2833"/>
                <w:sz w:val="18"/>
                <w:szCs w:val="18"/>
              </w:rPr>
              <w:t>1.58</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5CFB9AA" w14:textId="77777777" w:rsidR="00606E20" w:rsidRDefault="00000000">
            <w:r>
              <w:rPr>
                <w:color w:val="1C2833"/>
                <w:sz w:val="18"/>
                <w:szCs w:val="18"/>
              </w:rPr>
              <w:t>Yes (2023+2024)</w:t>
            </w:r>
          </w:p>
        </w:tc>
        <w:tc>
          <w:tcPr>
            <w:tcW w:w="23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D1292B7" w14:textId="77777777" w:rsidR="00606E20" w:rsidRDefault="00000000">
            <w:r>
              <w:rPr>
                <w:color w:val="1C2833"/>
                <w:sz w:val="18"/>
                <w:szCs w:val="18"/>
              </w:rPr>
              <w:t>In ensemble</w:t>
            </w:r>
          </w:p>
        </w:tc>
      </w:tr>
      <w:tr w:rsidR="00606E20" w14:paraId="5760C99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83993D" w14:textId="77777777" w:rsidR="00606E20" w:rsidRDefault="00000000">
            <w:r>
              <w:rPr>
                <w:color w:val="1C2833"/>
                <w:sz w:val="18"/>
                <w:szCs w:val="18"/>
              </w:rPr>
              <w:lastRenderedPageBreak/>
              <w:t>Ridge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9AB9F6" w14:textId="77777777" w:rsidR="00606E20" w:rsidRDefault="00000000">
            <w:r>
              <w:rPr>
                <w:color w:val="1C2833"/>
                <w:sz w:val="18"/>
                <w:szCs w:val="18"/>
              </w:rPr>
              <w:t>0.042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DCF56D" w14:textId="77777777" w:rsidR="00606E20" w:rsidRDefault="00000000">
            <w:r>
              <w:rPr>
                <w:color w:val="1C2833"/>
                <w:sz w:val="18"/>
                <w:szCs w:val="18"/>
              </w:rPr>
              <w:t>1.22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C00F05" w14:textId="77777777" w:rsidR="00606E20" w:rsidRDefault="00000000">
            <w:r>
              <w:rPr>
                <w:color w:val="1C2833"/>
                <w:sz w:val="18"/>
                <w:szCs w:val="18"/>
              </w:rPr>
              <w:t>Yes (2023+2024)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0D040A" w14:textId="77777777" w:rsidR="00606E20" w:rsidRDefault="00000000">
            <w:r>
              <w:rPr>
                <w:color w:val="1C2833"/>
                <w:sz w:val="18"/>
                <w:szCs w:val="18"/>
              </w:rPr>
              <w:t>In ensemble</w:t>
            </w:r>
          </w:p>
        </w:tc>
      </w:tr>
      <w:tr w:rsidR="00606E20" w14:paraId="06DF6109" w14:textId="77777777">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721F35B" w14:textId="77777777" w:rsidR="00606E20" w:rsidRDefault="00000000">
            <w:r>
              <w:rPr>
                <w:color w:val="1C2833"/>
                <w:sz w:val="18"/>
                <w:szCs w:val="18"/>
              </w:rPr>
              <w:t>Gradient Boost</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C81B391" w14:textId="77777777" w:rsidR="00606E20" w:rsidRDefault="00000000">
            <w:r>
              <w:rPr>
                <w:color w:val="1C2833"/>
                <w:sz w:val="18"/>
                <w:szCs w:val="18"/>
              </w:rPr>
              <w:t>0.015</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6D27C6C" w14:textId="77777777" w:rsidR="00606E20" w:rsidRDefault="00000000">
            <w:r>
              <w:rPr>
                <w:color w:val="1C2833"/>
                <w:sz w:val="18"/>
                <w:szCs w:val="18"/>
              </w:rPr>
              <w:t>1.02</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3FBFE4B" w14:textId="77777777" w:rsidR="00606E20" w:rsidRDefault="00000000">
            <w:r>
              <w:rPr>
                <w:color w:val="1C2833"/>
                <w:sz w:val="18"/>
                <w:szCs w:val="18"/>
              </w:rPr>
              <w:t>Partial</w:t>
            </w:r>
          </w:p>
        </w:tc>
        <w:tc>
          <w:tcPr>
            <w:tcW w:w="23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55772E5" w14:textId="77777777" w:rsidR="00606E20" w:rsidRDefault="00000000">
            <w:r>
              <w:rPr>
                <w:color w:val="1C2833"/>
                <w:sz w:val="18"/>
                <w:szCs w:val="18"/>
              </w:rPr>
              <w:t>Excluded (threshold)</w:t>
            </w:r>
          </w:p>
        </w:tc>
      </w:tr>
      <w:tr w:rsidR="00606E20" w14:paraId="23A62AD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9A3F55" w14:textId="77777777" w:rsidR="00606E20" w:rsidRDefault="00000000">
            <w:r>
              <w:rPr>
                <w:color w:val="1C2833"/>
                <w:sz w:val="18"/>
                <w:szCs w:val="18"/>
              </w:rPr>
              <w:t>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C6809" w14:textId="77777777" w:rsidR="00606E20" w:rsidRDefault="00000000">
            <w:r>
              <w:rPr>
                <w:color w:val="1C2833"/>
                <w:sz w:val="18"/>
                <w:szCs w:val="18"/>
              </w:rPr>
              <w:t>0.002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AFF809" w14:textId="77777777" w:rsidR="00606E20" w:rsidRDefault="00000000">
            <w:r>
              <w:rPr>
                <w:color w:val="1C2833"/>
                <w:sz w:val="18"/>
                <w:szCs w:val="18"/>
              </w:rPr>
              <w:t>neg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CB5826" w14:textId="77777777" w:rsidR="00606E20" w:rsidRDefault="00000000">
            <w:r>
              <w:rPr>
                <w:color w:val="1C2833"/>
                <w:sz w:val="18"/>
                <w:szCs w:val="18"/>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016C56" w14:textId="77777777" w:rsidR="00606E20" w:rsidRDefault="00000000">
            <w:r>
              <w:rPr>
                <w:color w:val="1C2833"/>
                <w:sz w:val="18"/>
                <w:szCs w:val="18"/>
              </w:rPr>
              <w:t>Excluded</w:t>
            </w:r>
          </w:p>
        </w:tc>
      </w:tr>
      <w:tr w:rsidR="00606E20" w14:paraId="2B8B14C4" w14:textId="77777777">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8C61681" w14:textId="77777777" w:rsidR="00606E20" w:rsidRDefault="00000000">
            <w:r>
              <w:rPr>
                <w:color w:val="1C2833"/>
                <w:sz w:val="18"/>
                <w:szCs w:val="18"/>
              </w:rPr>
              <w:t>Decision Tree</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25A26A3" w14:textId="77777777" w:rsidR="00606E20" w:rsidRDefault="00000000">
            <w:r>
              <w:rPr>
                <w:color w:val="1C2833"/>
                <w:sz w:val="18"/>
                <w:szCs w:val="18"/>
              </w:rPr>
              <w:t>0.003</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788F189" w14:textId="77777777" w:rsidR="00606E20" w:rsidRDefault="00000000">
            <w:r>
              <w:rPr>
                <w:color w:val="1C2833"/>
                <w:sz w:val="18"/>
                <w:szCs w:val="18"/>
              </w:rPr>
              <w:t>neg</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BA7090F" w14:textId="77777777" w:rsidR="00606E20" w:rsidRDefault="00000000">
            <w:r>
              <w:rPr>
                <w:color w:val="1C2833"/>
                <w:sz w:val="18"/>
                <w:szCs w:val="18"/>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2135AB1" w14:textId="77777777" w:rsidR="00606E20" w:rsidRDefault="00000000">
            <w:r>
              <w:rPr>
                <w:color w:val="1C2833"/>
                <w:sz w:val="18"/>
                <w:szCs w:val="18"/>
              </w:rPr>
              <w:t>Excluded</w:t>
            </w:r>
          </w:p>
        </w:tc>
      </w:tr>
      <w:tr w:rsidR="00606E20" w14:paraId="5F24AB5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A85C3A" w14:textId="77777777" w:rsidR="00606E20" w:rsidRDefault="00000000">
            <w:r>
              <w:rPr>
                <w:color w:val="1C2833"/>
                <w:sz w:val="18"/>
                <w:szCs w:val="18"/>
              </w:rPr>
              <w:t>SVR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E6D951" w14:textId="77777777" w:rsidR="00606E20" w:rsidRDefault="00000000">
            <w:r>
              <w:rPr>
                <w:color w:val="1C2833"/>
                <w:sz w:val="18"/>
                <w:szCs w:val="18"/>
              </w:rPr>
              <w:t>0.006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BAD66" w14:textId="77777777" w:rsidR="00606E20" w:rsidRDefault="00000000">
            <w:r>
              <w:rPr>
                <w:color w:val="1C2833"/>
                <w:sz w:val="18"/>
                <w:szCs w:val="18"/>
              </w:rPr>
              <w:t>~0.0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A80C02" w14:textId="77777777" w:rsidR="00606E20" w:rsidRDefault="00000000">
            <w:r>
              <w:rPr>
                <w:color w:val="1C2833"/>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E16D23" w14:textId="77777777" w:rsidR="00606E20" w:rsidRDefault="00000000">
            <w:r>
              <w:rPr>
                <w:color w:val="1C2833"/>
                <w:sz w:val="18"/>
                <w:szCs w:val="18"/>
              </w:rPr>
              <w:t>Excluded (infeasible)</w:t>
            </w:r>
          </w:p>
        </w:tc>
      </w:tr>
    </w:tbl>
    <w:p w14:paraId="1CCDD0FF" w14:textId="77777777" w:rsidR="00606E20" w:rsidRDefault="00606E20">
      <w:pPr>
        <w:spacing w:after="80"/>
      </w:pPr>
    </w:p>
    <w:p w14:paraId="1ED77671" w14:textId="77777777" w:rsidR="00606E20" w:rsidRDefault="00000000">
      <w:pPr>
        <w:spacing w:before="40" w:after="60"/>
      </w:pPr>
      <w:r>
        <w:rPr>
          <w:color w:val="1C2833"/>
        </w:rPr>
        <w:t>Linear models dominated because cross-sectional z-scoring effectively linearises the ranking task, removing the nonlinear interactions that tree-based models rely on. This outcome is consistent with the documented behavior of linear factor models in cross-sectional equity research.</w:t>
      </w:r>
    </w:p>
    <w:p w14:paraId="4AE7A28B" w14:textId="77777777" w:rsidR="00606E20" w:rsidRDefault="00000000">
      <w:pPr>
        <w:spacing w:before="180" w:after="80"/>
      </w:pPr>
      <w:r>
        <w:rPr>
          <w:b/>
          <w:bCs/>
          <w:color w:val="028090"/>
          <w:sz w:val="22"/>
          <w:szCs w:val="22"/>
        </w:rPr>
        <w:t>Ensemble Construction</w:t>
      </w:r>
    </w:p>
    <w:p w14:paraId="33539201" w14:textId="77777777" w:rsidR="00606E20" w:rsidRDefault="00000000">
      <w:pPr>
        <w:spacing w:before="40" w:after="60"/>
      </w:pPr>
      <w:r>
        <w:rPr>
          <w:color w:val="1C2833"/>
        </w:rPr>
        <w:t>An IC-weighted ensemble was constructed combining Ridge (weight 0.40) and ElasticNet (weight 0.60). Weights were estimated on the validation period (2023) and applied unchanged to the test period (2024), following a two-stage weight estimation and reporting protocol that prevents ensemble weights from being fitted to the test data.</w:t>
      </w:r>
    </w:p>
    <w:p w14:paraId="2814EC3C" w14:textId="77777777" w:rsidR="00606E20" w:rsidRDefault="00000000">
      <w:pPr>
        <w:spacing w:before="180" w:after="80"/>
      </w:pPr>
      <w:r>
        <w:rPr>
          <w:b/>
          <w:bCs/>
          <w:color w:val="028090"/>
          <w:sz w:val="22"/>
          <w:szCs w:val="22"/>
        </w:rPr>
        <w:t>Benchmarks</w:t>
      </w:r>
    </w:p>
    <w:p w14:paraId="45B7724B" w14:textId="77777777" w:rsidR="00606E20" w:rsidRDefault="00000000">
      <w:pPr>
        <w:spacing w:before="40" w:after="60"/>
      </w:pPr>
      <w:r>
        <w:rPr>
          <w:color w:val="1C2833"/>
        </w:rPr>
        <w:t>Two baselines were used: SPY buy-and-hold (passive market exposure) and a naive momentum strategy (long top-10 by prior 5-day return, no model). The naive momentum strategy lost approximately 44% over the 2024 test period, confirming that the ensemble's returns are driven by the model signal rather than a mechanical strategy.</w:t>
      </w:r>
    </w:p>
    <w:p w14:paraId="29A87F70" w14:textId="77777777" w:rsidR="00606E20" w:rsidRDefault="00606E20">
      <w:pPr>
        <w:spacing w:after="80"/>
      </w:pPr>
    </w:p>
    <w:p w14:paraId="402DBD82" w14:textId="77777777" w:rsidR="00606E20" w:rsidRDefault="00000000">
      <w:pPr>
        <w:pBdr>
          <w:bottom w:val="single" w:sz="6" w:space="1" w:color="028090"/>
        </w:pBdr>
        <w:spacing w:before="240" w:after="100"/>
      </w:pPr>
      <w:r>
        <w:rPr>
          <w:b/>
          <w:bCs/>
          <w:color w:val="1E2761"/>
          <w:sz w:val="26"/>
          <w:szCs w:val="26"/>
        </w:rPr>
        <w:t>Summary Results</w:t>
      </w:r>
    </w:p>
    <w:p w14:paraId="35CC0B8E" w14:textId="77777777" w:rsidR="00606E20" w:rsidRDefault="00000000">
      <w:pPr>
        <w:spacing w:before="40" w:after="60"/>
      </w:pPr>
      <w:r>
        <w:rPr>
          <w:color w:val="1C2833"/>
        </w:rPr>
        <w:t>All results below are from the 2024 test set — data the model never saw during training or validation. The ensemble was evaluated on 50 non-overlapping weekly rebalancing periods.</w:t>
      </w:r>
    </w:p>
    <w:p w14:paraId="6FE40C91" w14:textId="77777777" w:rsidR="00606E20" w:rsidRDefault="00606E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100"/>
        <w:gridCol w:w="2660"/>
      </w:tblGrid>
      <w:tr w:rsidR="00606E20" w14:paraId="43E513E9" w14:textId="77777777">
        <w:tc>
          <w:tcPr>
            <w:tcW w:w="2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1AC3098B" w14:textId="77777777" w:rsidR="00606E20" w:rsidRDefault="00000000">
            <w:r>
              <w:rPr>
                <w:b/>
                <w:bCs/>
                <w:color w:val="FFFFFF"/>
                <w:sz w:val="18"/>
                <w:szCs w:val="18"/>
              </w:rPr>
              <w:t>Metric</w:t>
            </w:r>
          </w:p>
        </w:tc>
        <w:tc>
          <w:tcPr>
            <w:tcW w:w="21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4751DE81" w14:textId="77777777" w:rsidR="00606E20" w:rsidRDefault="00000000">
            <w:r>
              <w:rPr>
                <w:b/>
                <w:bCs/>
                <w:color w:val="FFFFFF"/>
                <w:sz w:val="18"/>
                <w:szCs w:val="18"/>
              </w:rPr>
              <w:t>Validation</w:t>
            </w:r>
          </w:p>
        </w:tc>
        <w:tc>
          <w:tcPr>
            <w:tcW w:w="21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AD1DFDE" w14:textId="77777777" w:rsidR="00606E20" w:rsidRDefault="00000000">
            <w:r>
              <w:rPr>
                <w:b/>
                <w:bCs/>
                <w:color w:val="FFFFFF"/>
                <w:sz w:val="18"/>
                <w:szCs w:val="18"/>
              </w:rPr>
              <w:t>Test (OOS)</w:t>
            </w:r>
          </w:p>
        </w:tc>
        <w:tc>
          <w:tcPr>
            <w:tcW w:w="26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50861BCB" w14:textId="77777777" w:rsidR="00606E20" w:rsidRDefault="00000000">
            <w:r>
              <w:rPr>
                <w:b/>
                <w:bCs/>
                <w:color w:val="FFFFFF"/>
                <w:sz w:val="18"/>
                <w:szCs w:val="18"/>
              </w:rPr>
              <w:t>Benchmark</w:t>
            </w:r>
          </w:p>
        </w:tc>
      </w:tr>
      <w:tr w:rsidR="00606E20" w14:paraId="7BE9D1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39B154" w14:textId="77777777" w:rsidR="00606E20" w:rsidRDefault="00000000">
            <w:r>
              <w:rPr>
                <w:color w:val="1C2833"/>
                <w:sz w:val="18"/>
                <w:szCs w:val="18"/>
              </w:rPr>
              <w:t>IC Mean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54BBA2" w14:textId="77777777" w:rsidR="00606E20" w:rsidRDefault="00000000">
            <w:r>
              <w:rPr>
                <w:color w:val="1C2833"/>
                <w:sz w:val="18"/>
                <w:szCs w:val="18"/>
              </w:rPr>
              <w:t>0.041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AF00B5" w14:textId="77777777" w:rsidR="00606E20" w:rsidRDefault="00000000">
            <w:r>
              <w:rPr>
                <w:color w:val="1C2833"/>
                <w:sz w:val="18"/>
                <w:szCs w:val="18"/>
              </w:rPr>
              <w:t>0.024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BAE4D6" w14:textId="77777777" w:rsidR="00606E20" w:rsidRDefault="00000000">
            <w:r>
              <w:rPr>
                <w:color w:val="1C2833"/>
                <w:sz w:val="18"/>
                <w:szCs w:val="18"/>
              </w:rPr>
              <w:t>&gt; 0.020 viable (Grinold &amp; Kahn, 1999)</w:t>
            </w:r>
          </w:p>
        </w:tc>
      </w:tr>
      <w:tr w:rsidR="00606E20" w14:paraId="445224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41F2994" w14:textId="77777777" w:rsidR="00606E20" w:rsidRDefault="00000000">
            <w:r>
              <w:rPr>
                <w:color w:val="1C2833"/>
                <w:sz w:val="18"/>
                <w:szCs w:val="18"/>
              </w:rPr>
              <w:t>ICIR</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A8AF359" w14:textId="77777777" w:rsidR="00606E20" w:rsidRDefault="00000000">
            <w:r>
              <w:rPr>
                <w:color w:val="1C2833"/>
                <w:sz w:val="18"/>
                <w:szCs w:val="18"/>
              </w:rPr>
              <w:t>0.322</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FA67C57" w14:textId="77777777" w:rsidR="00606E20" w:rsidRDefault="00000000">
            <w:r>
              <w:rPr>
                <w:color w:val="1C2833"/>
                <w:sz w:val="18"/>
                <w:szCs w:val="18"/>
              </w:rPr>
              <w:t>0.117</w:t>
            </w:r>
          </w:p>
        </w:tc>
        <w:tc>
          <w:tcPr>
            <w:tcW w:w="26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0FCFBBC" w14:textId="77777777" w:rsidR="00606E20" w:rsidRDefault="00000000">
            <w:r>
              <w:rPr>
                <w:color w:val="1C2833"/>
                <w:sz w:val="18"/>
                <w:szCs w:val="18"/>
              </w:rPr>
              <w:t>&gt; 0.500 tradeable (Grinold, 1994)</w:t>
            </w:r>
          </w:p>
        </w:tc>
      </w:tr>
      <w:tr w:rsidR="00606E20" w14:paraId="1E9823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5D8D74" w14:textId="77777777" w:rsidR="00606E20" w:rsidRDefault="00000000">
            <w:r>
              <w:rPr>
                <w:color w:val="1C2833"/>
                <w:sz w:val="18"/>
                <w:szCs w:val="18"/>
              </w:rPr>
              <w:t>Sharpe Ratio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85A16" w14:textId="77777777" w:rsidR="00606E20" w:rsidRDefault="00000000">
            <w:r>
              <w:rPr>
                <w:color w:val="1C2833"/>
                <w:sz w:val="18"/>
                <w:szCs w:val="18"/>
              </w:rPr>
              <w:t>1.97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74A149" w14:textId="77777777" w:rsidR="00606E20" w:rsidRDefault="00000000">
            <w:r>
              <w:rPr>
                <w:color w:val="1C2833"/>
                <w:sz w:val="18"/>
                <w:szCs w:val="18"/>
              </w:rPr>
              <w:t>0.98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5C3633" w14:textId="77777777" w:rsidR="00606E20" w:rsidRDefault="00000000">
            <w:r>
              <w:rPr>
                <w:color w:val="1C2833"/>
                <w:sz w:val="18"/>
                <w:szCs w:val="18"/>
              </w:rPr>
              <w:t>SPY ~1.05 (2024, buy &amp; hold)</w:t>
            </w:r>
          </w:p>
        </w:tc>
      </w:tr>
      <w:tr w:rsidR="00606E20" w14:paraId="420CDC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D9EC725" w14:textId="77777777" w:rsidR="00606E20" w:rsidRDefault="00000000">
            <w:r>
              <w:rPr>
                <w:color w:val="1C2833"/>
                <w:sz w:val="18"/>
                <w:szCs w:val="18"/>
              </w:rPr>
              <w:t>Cumulative Ret.</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F4AC1F6" w14:textId="77777777" w:rsidR="00606E20" w:rsidRDefault="00000000">
            <w:r>
              <w:rPr>
                <w:color w:val="1C2833"/>
                <w:sz w:val="18"/>
                <w:szCs w:val="18"/>
              </w:rPr>
              <w:t>+35%</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1FFED4E" w14:textId="77777777" w:rsidR="00606E20" w:rsidRDefault="00000000">
            <w:r>
              <w:rPr>
                <w:color w:val="1C2833"/>
                <w:sz w:val="18"/>
                <w:szCs w:val="18"/>
              </w:rPr>
              <w:t>+21%</w:t>
            </w:r>
          </w:p>
        </w:tc>
        <w:tc>
          <w:tcPr>
            <w:tcW w:w="26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23FBB9A" w14:textId="77777777" w:rsidR="00606E20" w:rsidRDefault="00000000">
            <w:r>
              <w:rPr>
                <w:color w:val="1C2833"/>
                <w:sz w:val="18"/>
                <w:szCs w:val="18"/>
              </w:rPr>
              <w:t>SPY +26% (2024)</w:t>
            </w:r>
          </w:p>
        </w:tc>
      </w:tr>
      <w:tr w:rsidR="00606E20" w14:paraId="5ADEB2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81BC91" w14:textId="77777777" w:rsidR="00606E20" w:rsidRDefault="00000000">
            <w:r>
              <w:rPr>
                <w:color w:val="1C2833"/>
                <w:sz w:val="18"/>
                <w:szCs w:val="18"/>
              </w:rPr>
              <w:t>Max Drawdown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2BB595" w14:textId="77777777" w:rsidR="00606E20" w:rsidRDefault="00000000">
            <w:r>
              <w:rPr>
                <w:color w:val="1C2833"/>
                <w:sz w:val="18"/>
                <w:szCs w:val="18"/>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E1E3BC" w14:textId="77777777" w:rsidR="00606E20" w:rsidRDefault="00000000">
            <w:r>
              <w:rPr>
                <w:color w:val="1C2833"/>
                <w:sz w:val="18"/>
                <w:szCs w:val="18"/>
              </w:rPr>
              <w:t>-15%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EA5C2C" w14:textId="77777777" w:rsidR="00606E20" w:rsidRDefault="00000000">
            <w:r>
              <w:rPr>
                <w:color w:val="1C2833"/>
                <w:sz w:val="18"/>
                <w:szCs w:val="18"/>
              </w:rPr>
              <w:t>SPY -7.6% (2024)</w:t>
            </w:r>
          </w:p>
        </w:tc>
      </w:tr>
    </w:tbl>
    <w:p w14:paraId="2C6AA477" w14:textId="77777777" w:rsidR="00606E20" w:rsidRDefault="00606E20">
      <w:pPr>
        <w:spacing w:after="80"/>
      </w:pPr>
    </w:p>
    <w:p w14:paraId="12342C12" w14:textId="30527CC7" w:rsidR="00606E20" w:rsidRDefault="00000000">
      <w:pPr>
        <w:spacing w:before="40" w:after="60"/>
      </w:pPr>
      <w:r>
        <w:rPr>
          <w:color w:val="1C2833"/>
        </w:rPr>
        <w:t>IC of 0.024 on the test set is statistically significant and falls within the range reported in academic cross-sectional equity literature (Hou, Xue &amp; Zhang, 2021: IC range 0.015–0.035). The Sharpe of 0.98 is comparable to SPY's Sharpe of approximately 1.05 over the same period, with the critical distinction that the ensemble strategy is market-neutral — returns come from cross-sectional stock selection (alpha), not from market direction (beta). The naive momentum baseline losing 44% over the same period confirms the economic value of the ML signal.</w:t>
      </w:r>
    </w:p>
    <w:p w14:paraId="768B62E9" w14:textId="77777777" w:rsidR="00606E20" w:rsidRDefault="00000000">
      <w:pPr>
        <w:spacing w:before="40" w:after="60"/>
      </w:pPr>
      <w:r>
        <w:rPr>
          <w:color w:val="1C2833"/>
        </w:rPr>
        <w:t>The degradation from validation to test (IC: 0.065 → 0.024, Sharpe: 1.97 → 0.98) is expected and reflects genuine out-of-sample behavior, not a bug. 2024 was a stronger trending market than 2023, which reduces cross-sectional dispersion and makes ranking harder. This pattern of partial signal decay is documented in the factor crowding literature.</w:t>
      </w:r>
    </w:p>
    <w:p w14:paraId="5C5E8392" w14:textId="77777777" w:rsidR="00606E20" w:rsidRDefault="00606E20">
      <w:pPr>
        <w:spacing w:after="80"/>
      </w:pPr>
    </w:p>
    <w:p w14:paraId="30EA6CDA" w14:textId="77777777" w:rsidR="00606E20" w:rsidRDefault="00000000">
      <w:pPr>
        <w:pBdr>
          <w:bottom w:val="single" w:sz="6" w:space="1" w:color="028090"/>
        </w:pBdr>
        <w:spacing w:before="240" w:after="100"/>
      </w:pPr>
      <w:r>
        <w:rPr>
          <w:b/>
          <w:bCs/>
          <w:color w:val="1E2761"/>
          <w:sz w:val="26"/>
          <w:szCs w:val="26"/>
        </w:rPr>
        <w:t>Deliverables</w:t>
      </w:r>
    </w:p>
    <w:p w14:paraId="2C5EC7DB" w14:textId="031AD8E0" w:rsidR="00606E20" w:rsidRDefault="00000000">
      <w:pPr>
        <w:pStyle w:val="ListParagraph"/>
        <w:numPr>
          <w:ilvl w:val="0"/>
          <w:numId w:val="2"/>
        </w:numPr>
        <w:spacing w:before="30" w:after="30"/>
      </w:pPr>
      <w:r>
        <w:rPr>
          <w:color w:val="1C2833"/>
        </w:rPr>
        <w:t xml:space="preserve">GitHub repository: </w:t>
      </w:r>
      <w:hyperlink r:id="rId7" w:history="1">
        <w:r w:rsidR="00606E20" w:rsidRPr="00CA61DD">
          <w:rPr>
            <w:rStyle w:val="Hyperlink"/>
          </w:rPr>
          <w:t>github.com/Dib-Ali/cross-sectional-equity-ml</w:t>
        </w:r>
      </w:hyperlink>
      <w:r>
        <w:rPr>
          <w:color w:val="1C2833"/>
        </w:rPr>
        <w:t xml:space="preserve"> — contains all source code, pre-computed results, plots, presentation slides, and this report.</w:t>
      </w:r>
    </w:p>
    <w:p w14:paraId="4B25DC2C" w14:textId="0BD16E9B" w:rsidR="00606E20" w:rsidRDefault="00000000">
      <w:pPr>
        <w:pStyle w:val="ListParagraph"/>
        <w:numPr>
          <w:ilvl w:val="0"/>
          <w:numId w:val="2"/>
        </w:numPr>
        <w:spacing w:before="30" w:after="30"/>
      </w:pPr>
      <w:r>
        <w:rPr>
          <w:color w:val="1C2833"/>
        </w:rPr>
        <w:lastRenderedPageBreak/>
        <w:t>Docker image: public image containing the full working project</w:t>
      </w:r>
      <w:r w:rsidR="00377D63">
        <w:rPr>
          <w:color w:val="1C2833"/>
        </w:rPr>
        <w:t xml:space="preserve"> (instructions in GitHub Readme) : </w:t>
      </w:r>
      <w:hyperlink r:id="rId8" w:history="1">
        <w:r w:rsidR="00377D63" w:rsidRPr="00377D63">
          <w:rPr>
            <w:rStyle w:val="Hyperlink"/>
          </w:rPr>
          <w:t>https://hub.docker.com/r/antsxd/machine_learning_cross_sectional_equity_return_predictor</w:t>
        </w:r>
      </w:hyperlink>
    </w:p>
    <w:p w14:paraId="6D618B3A" w14:textId="01509B9C" w:rsidR="00606E20" w:rsidRDefault="00000000">
      <w:pPr>
        <w:pStyle w:val="ListParagraph"/>
        <w:numPr>
          <w:ilvl w:val="0"/>
          <w:numId w:val="2"/>
        </w:numPr>
        <w:spacing w:before="30" w:after="30"/>
      </w:pPr>
      <w:r>
        <w:rPr>
          <w:color w:val="1C2833"/>
        </w:rPr>
        <w:t>3-minute video demo</w:t>
      </w:r>
      <w:r w:rsidR="005B7CA7">
        <w:rPr>
          <w:color w:val="1C2833"/>
        </w:rPr>
        <w:t xml:space="preserve">: </w:t>
      </w:r>
      <w:hyperlink r:id="rId9" w:history="1">
        <w:r w:rsidR="00550D31" w:rsidRPr="00550D31">
          <w:rPr>
            <w:rStyle w:val="Hyperlink"/>
          </w:rPr>
          <w:t>https://drive.google.com/drive/folders/1akdIjg4_t5P_9a3e5FFZAD-e_CPSoH3t?usp=sharing</w:t>
        </w:r>
      </w:hyperlink>
    </w:p>
    <w:p w14:paraId="522714A0" w14:textId="432BDEDF" w:rsidR="00606E20" w:rsidRDefault="00000000">
      <w:pPr>
        <w:pStyle w:val="ListParagraph"/>
        <w:numPr>
          <w:ilvl w:val="0"/>
          <w:numId w:val="2"/>
        </w:numPr>
        <w:spacing w:before="30" w:after="30"/>
      </w:pPr>
      <w:r>
        <w:rPr>
          <w:color w:val="1C2833"/>
        </w:rPr>
        <w:t xml:space="preserve">Final presentation slides: </w:t>
      </w:r>
      <w:r w:rsidR="005B7CA7">
        <w:rPr>
          <w:color w:val="1C2833"/>
        </w:rPr>
        <w:t>C</w:t>
      </w:r>
      <w:r>
        <w:rPr>
          <w:color w:val="1C2833"/>
        </w:rPr>
        <w:t>overing problem framing, data pipeline, evaluation framework, model results, ensemble design, and limitations.</w:t>
      </w:r>
    </w:p>
    <w:p w14:paraId="404F0EF9" w14:textId="77777777" w:rsidR="00606E20" w:rsidRDefault="00606E20">
      <w:pPr>
        <w:spacing w:after="80"/>
      </w:pPr>
    </w:p>
    <w:p w14:paraId="33FE3FEC" w14:textId="77777777" w:rsidR="00606E20" w:rsidRDefault="00000000">
      <w:pPr>
        <w:pBdr>
          <w:bottom w:val="single" w:sz="6" w:space="1" w:color="028090"/>
        </w:pBdr>
        <w:spacing w:before="240" w:after="100"/>
      </w:pPr>
      <w:r>
        <w:rPr>
          <w:b/>
          <w:bCs/>
          <w:color w:val="1E2761"/>
          <w:sz w:val="26"/>
          <w:szCs w:val="26"/>
        </w:rPr>
        <w:t>Key Limitations</w:t>
      </w:r>
    </w:p>
    <w:p w14:paraId="3BE715EE" w14:textId="77777777" w:rsidR="00606E20" w:rsidRDefault="00000000">
      <w:pPr>
        <w:pStyle w:val="ListParagraph"/>
        <w:numPr>
          <w:ilvl w:val="0"/>
          <w:numId w:val="2"/>
        </w:numPr>
        <w:spacing w:before="30" w:after="30"/>
      </w:pPr>
      <w:r>
        <w:rPr>
          <w:color w:val="1C2833"/>
        </w:rPr>
        <w:t>Survivorship bias: S&amp;P 100 current constituents only — delisted stocks are absent, biasing returns upward.</w:t>
      </w:r>
    </w:p>
    <w:p w14:paraId="2B411318" w14:textId="77777777" w:rsidR="00606E20" w:rsidRDefault="00000000">
      <w:pPr>
        <w:pStyle w:val="ListParagraph"/>
        <w:numPr>
          <w:ilvl w:val="0"/>
          <w:numId w:val="2"/>
        </w:numPr>
        <w:spacing w:before="30" w:after="30"/>
      </w:pPr>
      <w:r>
        <w:rPr>
          <w:color w:val="1C2833"/>
        </w:rPr>
        <w:t>Universe size: 100 stocks produces high IC variance. Professional strategies use 500–3000 stocks.</w:t>
      </w:r>
    </w:p>
    <w:p w14:paraId="7A864C11" w14:textId="77777777" w:rsidR="00606E20" w:rsidRDefault="00000000">
      <w:pPr>
        <w:pStyle w:val="ListParagraph"/>
        <w:numPr>
          <w:ilvl w:val="0"/>
          <w:numId w:val="2"/>
        </w:numPr>
        <w:spacing w:before="30" w:after="30"/>
      </w:pPr>
      <w:r>
        <w:rPr>
          <w:color w:val="1C2833"/>
        </w:rPr>
        <w:t>Single train/test split: no rolling walk-forward retraining. Results represent performance of a static model.</w:t>
      </w:r>
    </w:p>
    <w:p w14:paraId="4C9DFCFB" w14:textId="77777777" w:rsidR="00606E20" w:rsidRDefault="00000000">
      <w:pPr>
        <w:pStyle w:val="ListParagraph"/>
        <w:numPr>
          <w:ilvl w:val="0"/>
          <w:numId w:val="2"/>
        </w:numPr>
        <w:spacing w:before="30" w:after="30"/>
      </w:pPr>
      <w:r>
        <w:rPr>
          <w:color w:val="1C2833"/>
        </w:rPr>
        <w:t>No position sizing: equal-weight long-short ignores prediction confidence. Signal-weighted allocation would be more realistic.</w:t>
      </w:r>
    </w:p>
    <w:sectPr w:rsidR="00606E20">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1C0E" w14:textId="77777777" w:rsidR="00A2006F" w:rsidRDefault="00A2006F">
      <w:r>
        <w:separator/>
      </w:r>
    </w:p>
  </w:endnote>
  <w:endnote w:type="continuationSeparator" w:id="0">
    <w:p w14:paraId="49521BE7" w14:textId="77777777" w:rsidR="00A2006F" w:rsidRDefault="00A20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34C" w14:textId="77777777" w:rsidR="00606E20" w:rsidRDefault="00000000">
    <w:pPr>
      <w:jc w:val="center"/>
    </w:pPr>
    <w:r>
      <w:rPr>
        <w:color w:val="999999"/>
        <w:sz w:val="16"/>
        <w:szCs w:val="16"/>
      </w:rPr>
      <w:t xml:space="preserve">Cross-Sectional Equity Return Prediction  |  ML Final Project  |  Ali Dib · Chris Wehbe · Anthony Charbel · Kevin Khoury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5B7CA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3826C" w14:textId="77777777" w:rsidR="00A2006F" w:rsidRDefault="00A2006F">
      <w:r>
        <w:separator/>
      </w:r>
    </w:p>
  </w:footnote>
  <w:footnote w:type="continuationSeparator" w:id="0">
    <w:p w14:paraId="40CD42F3" w14:textId="77777777" w:rsidR="00A2006F" w:rsidRDefault="00A20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1F87"/>
    <w:multiLevelType w:val="hybridMultilevel"/>
    <w:tmpl w:val="51B06360"/>
    <w:lvl w:ilvl="0" w:tplc="C82CD416">
      <w:start w:val="1"/>
      <w:numFmt w:val="bullet"/>
      <w:lvlText w:val="•"/>
      <w:lvlJc w:val="left"/>
      <w:pPr>
        <w:ind w:left="540" w:hanging="270"/>
      </w:pPr>
    </w:lvl>
    <w:lvl w:ilvl="1" w:tplc="05BEA1EE">
      <w:numFmt w:val="decimal"/>
      <w:lvlText w:val=""/>
      <w:lvlJc w:val="left"/>
    </w:lvl>
    <w:lvl w:ilvl="2" w:tplc="9C1203E0">
      <w:numFmt w:val="decimal"/>
      <w:lvlText w:val=""/>
      <w:lvlJc w:val="left"/>
    </w:lvl>
    <w:lvl w:ilvl="3" w:tplc="F29022DC">
      <w:numFmt w:val="decimal"/>
      <w:lvlText w:val=""/>
      <w:lvlJc w:val="left"/>
    </w:lvl>
    <w:lvl w:ilvl="4" w:tplc="98DA4D56">
      <w:numFmt w:val="decimal"/>
      <w:lvlText w:val=""/>
      <w:lvlJc w:val="left"/>
    </w:lvl>
    <w:lvl w:ilvl="5" w:tplc="4412FDA2">
      <w:numFmt w:val="decimal"/>
      <w:lvlText w:val=""/>
      <w:lvlJc w:val="left"/>
    </w:lvl>
    <w:lvl w:ilvl="6" w:tplc="C39852DC">
      <w:numFmt w:val="decimal"/>
      <w:lvlText w:val=""/>
      <w:lvlJc w:val="left"/>
    </w:lvl>
    <w:lvl w:ilvl="7" w:tplc="1D5CC7F2">
      <w:numFmt w:val="decimal"/>
      <w:lvlText w:val=""/>
      <w:lvlJc w:val="left"/>
    </w:lvl>
    <w:lvl w:ilvl="8" w:tplc="272C2158">
      <w:numFmt w:val="decimal"/>
      <w:lvlText w:val=""/>
      <w:lvlJc w:val="left"/>
    </w:lvl>
  </w:abstractNum>
  <w:abstractNum w:abstractNumId="1" w15:restartNumberingAfterBreak="0">
    <w:nsid w:val="4C4947A4"/>
    <w:multiLevelType w:val="hybridMultilevel"/>
    <w:tmpl w:val="0C489FAE"/>
    <w:lvl w:ilvl="0" w:tplc="56A8C5A2">
      <w:start w:val="1"/>
      <w:numFmt w:val="bullet"/>
      <w:lvlText w:val="●"/>
      <w:lvlJc w:val="left"/>
      <w:pPr>
        <w:ind w:left="720" w:hanging="360"/>
      </w:pPr>
    </w:lvl>
    <w:lvl w:ilvl="1" w:tplc="6B900BC2">
      <w:start w:val="1"/>
      <w:numFmt w:val="bullet"/>
      <w:lvlText w:val="○"/>
      <w:lvlJc w:val="left"/>
      <w:pPr>
        <w:ind w:left="1440" w:hanging="360"/>
      </w:pPr>
    </w:lvl>
    <w:lvl w:ilvl="2" w:tplc="5CA6B6F0">
      <w:start w:val="1"/>
      <w:numFmt w:val="bullet"/>
      <w:lvlText w:val="■"/>
      <w:lvlJc w:val="left"/>
      <w:pPr>
        <w:ind w:left="2160" w:hanging="360"/>
      </w:pPr>
    </w:lvl>
    <w:lvl w:ilvl="3" w:tplc="91FE6AA6">
      <w:start w:val="1"/>
      <w:numFmt w:val="bullet"/>
      <w:lvlText w:val="●"/>
      <w:lvlJc w:val="left"/>
      <w:pPr>
        <w:ind w:left="2880" w:hanging="360"/>
      </w:pPr>
    </w:lvl>
    <w:lvl w:ilvl="4" w:tplc="DF24F490">
      <w:start w:val="1"/>
      <w:numFmt w:val="bullet"/>
      <w:lvlText w:val="○"/>
      <w:lvlJc w:val="left"/>
      <w:pPr>
        <w:ind w:left="3600" w:hanging="360"/>
      </w:pPr>
    </w:lvl>
    <w:lvl w:ilvl="5" w:tplc="E2184D00">
      <w:start w:val="1"/>
      <w:numFmt w:val="bullet"/>
      <w:lvlText w:val="■"/>
      <w:lvlJc w:val="left"/>
      <w:pPr>
        <w:ind w:left="4320" w:hanging="360"/>
      </w:pPr>
    </w:lvl>
    <w:lvl w:ilvl="6" w:tplc="7F6857E0">
      <w:start w:val="1"/>
      <w:numFmt w:val="bullet"/>
      <w:lvlText w:val="●"/>
      <w:lvlJc w:val="left"/>
      <w:pPr>
        <w:ind w:left="5040" w:hanging="360"/>
      </w:pPr>
    </w:lvl>
    <w:lvl w:ilvl="7" w:tplc="C1FEAB56">
      <w:start w:val="1"/>
      <w:numFmt w:val="bullet"/>
      <w:lvlText w:val="●"/>
      <w:lvlJc w:val="left"/>
      <w:pPr>
        <w:ind w:left="5760" w:hanging="360"/>
      </w:pPr>
    </w:lvl>
    <w:lvl w:ilvl="8" w:tplc="9656F5BE">
      <w:start w:val="1"/>
      <w:numFmt w:val="bullet"/>
      <w:lvlText w:val="●"/>
      <w:lvlJc w:val="left"/>
      <w:pPr>
        <w:ind w:left="6480" w:hanging="360"/>
      </w:pPr>
    </w:lvl>
  </w:abstractNum>
  <w:num w:numId="1" w16cid:durableId="2131125428">
    <w:abstractNumId w:val="1"/>
    <w:lvlOverride w:ilvl="0">
      <w:startOverride w:val="1"/>
    </w:lvlOverride>
  </w:num>
  <w:num w:numId="2" w16cid:durableId="1963413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E20"/>
    <w:rsid w:val="00243435"/>
    <w:rsid w:val="00377D63"/>
    <w:rsid w:val="00550D31"/>
    <w:rsid w:val="005B7CA7"/>
    <w:rsid w:val="00606E20"/>
    <w:rsid w:val="007455D9"/>
    <w:rsid w:val="009F3DB7"/>
    <w:rsid w:val="00A2006F"/>
    <w:rsid w:val="00B30F23"/>
    <w:rsid w:val="00CA6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BBF5"/>
  <w15:docId w15:val="{3D31D0AE-CC21-4A05-A159-D0A840E69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A61DD"/>
    <w:rPr>
      <w:color w:val="605E5C"/>
      <w:shd w:val="clear" w:color="auto" w:fill="E1DFDD"/>
    </w:rPr>
  </w:style>
  <w:style w:type="character" w:styleId="FollowedHyperlink">
    <w:name w:val="FollowedHyperlink"/>
    <w:basedOn w:val="DefaultParagraphFont"/>
    <w:uiPriority w:val="99"/>
    <w:semiHidden/>
    <w:unhideWhenUsed/>
    <w:rsid w:val="00CA61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b.docker.com/r/antsxd/machine_learning_cross_sectional_equity_return_predictor" TargetMode="External"/><Relationship Id="rId3" Type="http://schemas.openxmlformats.org/officeDocument/2006/relationships/settings" Target="settings.xml"/><Relationship Id="rId7" Type="http://schemas.openxmlformats.org/officeDocument/2006/relationships/hyperlink" Target="https://github.com/Dib-Ali/cross-sectional-equity-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rive.google.com/drive/folders/1akdIjg4_t5P_9a3e5FFZAD-e_CPSoH3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Dib</cp:lastModifiedBy>
  <cp:revision>5</cp:revision>
  <dcterms:created xsi:type="dcterms:W3CDTF">2026-04-24T21:22:00Z</dcterms:created>
  <dcterms:modified xsi:type="dcterms:W3CDTF">2026-04-25T13:06:00Z</dcterms:modified>
</cp:coreProperties>
</file>