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821D" w14:textId="3DE877D9" w:rsidR="00643B42" w:rsidRPr="00057E50" w:rsidRDefault="00566159" w:rsidP="00566159">
      <w:pPr>
        <w:jc w:val="center"/>
        <w:rPr>
          <w:rFonts w:ascii="Arial" w:eastAsia="Arial" w:hAnsi="Arial" w:cs="Arial"/>
          <w:sz w:val="22"/>
          <w:szCs w:val="22"/>
        </w:rPr>
      </w:pPr>
      <w:r w:rsidRPr="00057E50">
        <w:rPr>
          <w:rFonts w:ascii="Arial" w:eastAsia="Arial" w:hAnsi="Arial" w:cs="Arial"/>
          <w:sz w:val="22"/>
          <w:szCs w:val="22"/>
        </w:rPr>
        <w:t>SCREENING</w:t>
      </w:r>
    </w:p>
    <w:p w14:paraId="21D7ADC1" w14:textId="77777777" w:rsidR="00643B42" w:rsidRPr="00057E50" w:rsidRDefault="00643B42" w:rsidP="0056615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28BC94C" w14:textId="0CE173FD" w:rsidR="000405B5" w:rsidRPr="00057E50" w:rsidRDefault="003F750E" w:rsidP="00566159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057E50">
        <w:rPr>
          <w:rFonts w:ascii="Arial" w:eastAsia="Arial" w:hAnsi="Arial" w:cs="Arial"/>
          <w:b/>
          <w:sz w:val="22"/>
          <w:szCs w:val="22"/>
        </w:rPr>
        <w:t xml:space="preserve">PROSTATE CANCER SCREENING USING THE PROSTATE-SPECIFIC ANTIGEN (PSA) TEST </w:t>
      </w:r>
    </w:p>
    <w:p w14:paraId="6C061F17" w14:textId="41E3A2D3" w:rsidR="00643B42" w:rsidRPr="00057E50" w:rsidRDefault="00643B42" w:rsidP="0056615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56AA7B08" w14:textId="4A86F8FE" w:rsidR="00F20C79" w:rsidRPr="0007577A" w:rsidRDefault="000D6C29" w:rsidP="00566159">
      <w:pPr>
        <w:rPr>
          <w:rFonts w:ascii="Arial" w:hAnsi="Arial" w:cs="Arial"/>
          <w:b/>
          <w:color w:val="C00000"/>
          <w:sz w:val="22"/>
          <w:szCs w:val="22"/>
          <w:vertAlign w:val="superscript"/>
        </w:rPr>
      </w:pPr>
      <w:r w:rsidRPr="0007577A">
        <w:rPr>
          <w:rFonts w:ascii="Arial" w:hAnsi="Arial" w:cs="Arial"/>
          <w:b/>
          <w:color w:val="C00000"/>
          <w:sz w:val="22"/>
          <w:szCs w:val="22"/>
        </w:rPr>
        <w:t>Adapted from Recommendations on screening for prostate cancer with the prostate-specific antigen test, Canadian Task Force on Preventive Health Care</w:t>
      </w:r>
      <w:r w:rsidR="001C7A2E" w:rsidRPr="0007577A">
        <w:rPr>
          <w:rFonts w:ascii="Arial" w:hAnsi="Arial" w:cs="Arial"/>
          <w:b/>
          <w:color w:val="C00000"/>
          <w:sz w:val="22"/>
          <w:szCs w:val="22"/>
          <w:vertAlign w:val="superscript"/>
        </w:rPr>
        <w:t>1</w:t>
      </w:r>
      <w:r w:rsidR="0007577A" w:rsidRPr="0007577A">
        <w:rPr>
          <w:rFonts w:ascii="Arial" w:hAnsi="Arial" w:cs="Arial"/>
          <w:b/>
          <w:color w:val="C00000"/>
          <w:sz w:val="22"/>
          <w:szCs w:val="22"/>
          <w:vertAlign w:val="superscript"/>
        </w:rPr>
        <w:t xml:space="preserve"> </w:t>
      </w:r>
      <w:r w:rsidR="0007577A" w:rsidRPr="0007577A">
        <w:rPr>
          <w:rFonts w:ascii="Arial" w:hAnsi="Arial" w:cs="Arial"/>
          <w:b/>
          <w:color w:val="C00000"/>
          <w:sz w:val="22"/>
          <w:szCs w:val="22"/>
        </w:rPr>
        <w:t xml:space="preserve">The information in this report should be considered realistic but is not always accurate. </w:t>
      </w:r>
    </w:p>
    <w:p w14:paraId="4F8D605C" w14:textId="77777777" w:rsidR="000D6C29" w:rsidRPr="00057E50" w:rsidRDefault="000D6C29" w:rsidP="00566159">
      <w:pPr>
        <w:rPr>
          <w:rFonts w:ascii="Arial" w:hAnsi="Arial" w:cs="Arial"/>
          <w:b/>
          <w:sz w:val="22"/>
          <w:szCs w:val="22"/>
        </w:rPr>
      </w:pPr>
    </w:p>
    <w:p w14:paraId="63FB8077" w14:textId="266F8BBC" w:rsidR="00E94AB8" w:rsidRPr="00057E50" w:rsidRDefault="00E94AB8" w:rsidP="000D6C29">
      <w:pP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057E50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THE PUBLIC HEALTH PROBLEM </w:t>
      </w:r>
    </w:p>
    <w:p w14:paraId="38170C74" w14:textId="623D47E1" w:rsidR="000D6C29" w:rsidRPr="00057E50" w:rsidRDefault="00115AF4" w:rsidP="000D6C2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Prostate cancer is the most commonly diagnosed cancer</w:t>
      </w:r>
      <w:r w:rsidR="000D6C29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and the third leading cause of cancer-related death among men in Canada.</w:t>
      </w:r>
      <w:r w:rsidR="003F750E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D6C29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lifetime risk of Canadian males being diagnosed with prostate cancer is 14.3%, whereas the lifetime risk of death is 3.6%. The prevalence of undiagnosed prostate cancer at autopsy is high and increases with age (&gt;40% among men aged 49-49 years to &gt;70% among men aged 70-79 years).</w:t>
      </w:r>
    </w:p>
    <w:p w14:paraId="4FB6D70A" w14:textId="77777777" w:rsidR="000D6C29" w:rsidRPr="00057E50" w:rsidRDefault="000D6C29" w:rsidP="00115AF4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AF05FEB" w14:textId="2968E6BB" w:rsidR="000D6C29" w:rsidRPr="00057E50" w:rsidRDefault="003F750E" w:rsidP="000D6C2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prostate </w:t>
      </w:r>
      <w:r w:rsidR="00D24DA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gland is located underneath a man’s bladder. It normally gets bigger with age, resulting in compression on the outlet of the bladder and leading to symptoms such as poor stream, and needing to urinate more often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(particularly at night)</w:t>
      </w:r>
      <w:r w:rsidR="00D24DA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Many of these symptoms are age-related and are not due to cancer of the prostate. </w:t>
      </w:r>
    </w:p>
    <w:p w14:paraId="02C81E7B" w14:textId="77777777" w:rsidR="000D6C29" w:rsidRPr="00057E50" w:rsidRDefault="000D6C29" w:rsidP="000D6C2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509E86" w14:textId="4B8DE4C6" w:rsidR="000D6C29" w:rsidRPr="00057E50" w:rsidRDefault="000D6C29" w:rsidP="000D6C2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P</w:t>
      </w:r>
      <w:r w:rsidR="00D24DA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rostate cancer 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usually develops slowly, and therefore may remain asymptomatic for many years. 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igns and symptoms of prostate cancer 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include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frequent urination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(particularly at night)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weak or interrupted urine flow, 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and 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blood in urine or semen</w:t>
      </w:r>
      <w:r w:rsidR="00E94AB8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The causes of prostate cancer are largely unknown. However, known risk factors are age, having an affected father or brother, and (for reasons not understood) being of African-Caribbean or African descent. </w:t>
      </w:r>
    </w:p>
    <w:p w14:paraId="30467283" w14:textId="77777777" w:rsidR="003F750E" w:rsidRPr="00057E50" w:rsidRDefault="003F750E" w:rsidP="00115AF4">
      <w:pPr>
        <w:rPr>
          <w:rFonts w:ascii="Arial" w:hAnsi="Arial" w:cs="Arial"/>
          <w:sz w:val="22"/>
          <w:szCs w:val="22"/>
        </w:rPr>
      </w:pPr>
    </w:p>
    <w:p w14:paraId="65E64E5C" w14:textId="1B7F0845" w:rsidR="00115AF4" w:rsidRPr="00057E50" w:rsidRDefault="00115AF4" w:rsidP="00115AF4">
      <w:pPr>
        <w:rPr>
          <w:rFonts w:ascii="Arial" w:hAnsi="Arial" w:cs="Arial"/>
          <w:sz w:val="22"/>
          <w:szCs w:val="22"/>
        </w:rPr>
      </w:pPr>
      <w:r w:rsidRPr="00057E50">
        <w:rPr>
          <w:rFonts w:ascii="Arial" w:hAnsi="Arial" w:cs="Arial"/>
          <w:sz w:val="22"/>
          <w:szCs w:val="22"/>
        </w:rPr>
        <w:t>In Canada, the five-year net survival for prostate cancer is among the highest of all cancers at 95%.</w:t>
      </w:r>
      <w:r w:rsidR="00E94AB8" w:rsidRPr="00057E50">
        <w:rPr>
          <w:rFonts w:ascii="Arial" w:hAnsi="Arial" w:cs="Arial"/>
          <w:sz w:val="22"/>
          <w:szCs w:val="22"/>
        </w:rPr>
        <w:t xml:space="preserve"> </w:t>
      </w:r>
      <w:r w:rsidRPr="00057E50">
        <w:rPr>
          <w:rFonts w:ascii="Arial" w:hAnsi="Arial" w:cs="Arial"/>
          <w:sz w:val="22"/>
          <w:szCs w:val="22"/>
        </w:rPr>
        <w:t>Survival for early stage disease is almost 100%, but is much lower for cancers that present with distant metas</w:t>
      </w:r>
      <w:r w:rsidR="003F750E" w:rsidRPr="00057E50">
        <w:rPr>
          <w:rFonts w:ascii="Arial" w:hAnsi="Arial" w:cs="Arial"/>
          <w:sz w:val="22"/>
          <w:szCs w:val="22"/>
        </w:rPr>
        <w:t>t</w:t>
      </w:r>
      <w:r w:rsidRPr="00057E50">
        <w:rPr>
          <w:rFonts w:ascii="Arial" w:hAnsi="Arial" w:cs="Arial"/>
          <w:sz w:val="22"/>
          <w:szCs w:val="22"/>
        </w:rPr>
        <w:t xml:space="preserve">ases (stage IV) at diagnosis (29%). </w:t>
      </w:r>
      <w:r w:rsidR="003B474C">
        <w:rPr>
          <w:rFonts w:ascii="Arial" w:hAnsi="Arial" w:cs="Arial"/>
          <w:sz w:val="22"/>
          <w:szCs w:val="22"/>
        </w:rPr>
        <w:t xml:space="preserve">In Canada approximately 75% of prostate cancers are detected in the early stages (stages I and II), by contrast only around 9% of prostate cancers are late diagnoses (stage IV). </w:t>
      </w:r>
    </w:p>
    <w:p w14:paraId="08A3AC12" w14:textId="77777777" w:rsidR="008D7F40" w:rsidRPr="00057E50" w:rsidRDefault="008D7F40" w:rsidP="00115AF4">
      <w:pPr>
        <w:rPr>
          <w:rFonts w:ascii="Arial" w:hAnsi="Arial" w:cs="Arial"/>
          <w:b/>
          <w:sz w:val="22"/>
          <w:szCs w:val="22"/>
        </w:rPr>
      </w:pPr>
    </w:p>
    <w:p w14:paraId="59FE9BFE" w14:textId="379A3C85" w:rsidR="00E94AB8" w:rsidRPr="001D099C" w:rsidRDefault="00E94AB8" w:rsidP="00115AF4">
      <w:pPr>
        <w:rPr>
          <w:rFonts w:ascii="Arial" w:hAnsi="Arial" w:cs="Arial"/>
          <w:b/>
          <w:sz w:val="22"/>
          <w:szCs w:val="22"/>
        </w:rPr>
      </w:pPr>
      <w:r w:rsidRPr="00057E50">
        <w:rPr>
          <w:rFonts w:ascii="Arial" w:hAnsi="Arial" w:cs="Arial"/>
          <w:b/>
          <w:sz w:val="22"/>
          <w:szCs w:val="22"/>
        </w:rPr>
        <w:t xml:space="preserve">SCREENING, DIAGNOSIS AND TREATMENT </w:t>
      </w:r>
    </w:p>
    <w:p w14:paraId="3DB29FBF" w14:textId="1A6817C8" w:rsidR="003F750E" w:rsidRPr="00057E50" w:rsidRDefault="003F750E" w:rsidP="00115AF4">
      <w:pPr>
        <w:rPr>
          <w:rFonts w:ascii="Arial" w:hAnsi="Arial" w:cs="Arial"/>
          <w:sz w:val="22"/>
          <w:szCs w:val="22"/>
        </w:rPr>
      </w:pPr>
      <w:r w:rsidRPr="00057E50">
        <w:rPr>
          <w:rFonts w:ascii="Arial" w:hAnsi="Arial" w:cs="Arial"/>
          <w:sz w:val="22"/>
          <w:szCs w:val="22"/>
        </w:rPr>
        <w:t>Prostate-specific antigen (PSA) is a biomarker for prostate cancer</w:t>
      </w:r>
      <w:r w:rsidR="0006038D">
        <w:rPr>
          <w:rFonts w:ascii="Arial" w:hAnsi="Arial" w:cs="Arial"/>
          <w:sz w:val="22"/>
          <w:szCs w:val="22"/>
        </w:rPr>
        <w:t xml:space="preserve">. The test, which can be done at a </w:t>
      </w:r>
      <w:r w:rsidR="003B474C">
        <w:rPr>
          <w:rFonts w:ascii="Arial" w:hAnsi="Arial" w:cs="Arial"/>
          <w:sz w:val="22"/>
          <w:szCs w:val="22"/>
        </w:rPr>
        <w:t>doctor’s</w:t>
      </w:r>
      <w:r w:rsidR="0006038D">
        <w:rPr>
          <w:rFonts w:ascii="Arial" w:hAnsi="Arial" w:cs="Arial"/>
          <w:sz w:val="22"/>
          <w:szCs w:val="22"/>
        </w:rPr>
        <w:t xml:space="preserve"> surgery, is a blood test – it measures the level of PSA in the blood. </w:t>
      </w:r>
      <w:r w:rsidR="001B726A">
        <w:rPr>
          <w:rFonts w:ascii="Arial" w:hAnsi="Arial" w:cs="Arial"/>
          <w:sz w:val="22"/>
          <w:szCs w:val="22"/>
        </w:rPr>
        <w:t>Like any screening test, PSA does not correctly identify all those who do and do not have prostate cancer (Table 1).</w:t>
      </w:r>
    </w:p>
    <w:p w14:paraId="12642890" w14:textId="0CD41FBE" w:rsidR="00F7272A" w:rsidRDefault="00F7272A" w:rsidP="00115AF4">
      <w:pPr>
        <w:rPr>
          <w:rFonts w:ascii="Arial" w:hAnsi="Arial" w:cs="Arial"/>
          <w:sz w:val="22"/>
          <w:szCs w:val="22"/>
        </w:rPr>
      </w:pPr>
    </w:p>
    <w:p w14:paraId="7D0AB64A" w14:textId="4A4C56C7" w:rsidR="0006038D" w:rsidRPr="0006038D" w:rsidRDefault="0006038D" w:rsidP="0006038D">
      <w:pPr>
        <w:pStyle w:val="Caption"/>
        <w:keepNext/>
        <w:rPr>
          <w:rFonts w:ascii="Arial" w:hAnsi="Arial" w:cs="Arial"/>
          <w:i w:val="0"/>
          <w:color w:val="000000" w:themeColor="text1"/>
          <w:sz w:val="20"/>
        </w:rPr>
      </w:pPr>
      <w:r w:rsidRPr="0006038D">
        <w:rPr>
          <w:rFonts w:ascii="Arial" w:hAnsi="Arial" w:cs="Arial"/>
          <w:b/>
          <w:i w:val="0"/>
          <w:color w:val="000000" w:themeColor="text1"/>
          <w:sz w:val="20"/>
        </w:rPr>
        <w:t xml:space="preserve">Table </w:t>
      </w:r>
      <w:r w:rsidRPr="0006038D">
        <w:rPr>
          <w:rFonts w:ascii="Arial" w:hAnsi="Arial" w:cs="Arial"/>
          <w:b/>
          <w:i w:val="0"/>
          <w:color w:val="000000" w:themeColor="text1"/>
          <w:sz w:val="20"/>
        </w:rPr>
        <w:fldChar w:fldCharType="begin"/>
      </w:r>
      <w:r w:rsidRPr="0006038D">
        <w:rPr>
          <w:rFonts w:ascii="Arial" w:hAnsi="Arial" w:cs="Arial"/>
          <w:b/>
          <w:i w:val="0"/>
          <w:color w:val="000000" w:themeColor="text1"/>
          <w:sz w:val="20"/>
        </w:rPr>
        <w:instrText xml:space="preserve"> SEQ Table \* ARABIC </w:instrText>
      </w:r>
      <w:r w:rsidRPr="0006038D">
        <w:rPr>
          <w:rFonts w:ascii="Arial" w:hAnsi="Arial" w:cs="Arial"/>
          <w:b/>
          <w:i w:val="0"/>
          <w:color w:val="000000" w:themeColor="text1"/>
          <w:sz w:val="20"/>
        </w:rPr>
        <w:fldChar w:fldCharType="separate"/>
      </w:r>
      <w:r w:rsidRPr="0006038D">
        <w:rPr>
          <w:rFonts w:ascii="Arial" w:hAnsi="Arial" w:cs="Arial"/>
          <w:b/>
          <w:i w:val="0"/>
          <w:noProof/>
          <w:color w:val="000000" w:themeColor="text1"/>
          <w:sz w:val="20"/>
        </w:rPr>
        <w:t>1</w:t>
      </w:r>
      <w:r w:rsidRPr="0006038D">
        <w:rPr>
          <w:rFonts w:ascii="Arial" w:hAnsi="Arial" w:cs="Arial"/>
          <w:b/>
          <w:i w:val="0"/>
          <w:color w:val="000000" w:themeColor="text1"/>
          <w:sz w:val="20"/>
        </w:rPr>
        <w:fldChar w:fldCharType="end"/>
      </w:r>
      <w:r w:rsidRPr="0006038D">
        <w:rPr>
          <w:rFonts w:ascii="Arial" w:hAnsi="Arial" w:cs="Arial"/>
          <w:b/>
          <w:i w:val="0"/>
          <w:color w:val="000000" w:themeColor="text1"/>
          <w:sz w:val="20"/>
        </w:rPr>
        <w:t xml:space="preserve">: </w:t>
      </w:r>
      <w:r>
        <w:rPr>
          <w:rFonts w:ascii="Arial" w:hAnsi="Arial" w:cs="Arial"/>
          <w:i w:val="0"/>
          <w:color w:val="000000" w:themeColor="text1"/>
          <w:sz w:val="20"/>
        </w:rPr>
        <w:t>Sensitivity and specificity of the PSA test and diagnostic biopsy for prostate cancer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42FB9" w14:paraId="2431CF43" w14:textId="77777777" w:rsidTr="001B726A">
        <w:tc>
          <w:tcPr>
            <w:tcW w:w="2252" w:type="dxa"/>
          </w:tcPr>
          <w:p w14:paraId="48FABE63" w14:textId="389313B7" w:rsidR="00042FB9" w:rsidRDefault="00042FB9" w:rsidP="00115A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2" w:type="dxa"/>
            <w:vAlign w:val="center"/>
          </w:tcPr>
          <w:p w14:paraId="2E352C6C" w14:textId="77777777" w:rsidR="00912DDB" w:rsidRPr="00912DDB" w:rsidRDefault="002B12A3" w:rsidP="001B72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PSA threshold </w:t>
            </w:r>
          </w:p>
          <w:p w14:paraId="5666A684" w14:textId="6155A8AF" w:rsidR="00042FB9" w:rsidRPr="00912DDB" w:rsidRDefault="002B12A3" w:rsidP="001B72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>4 ng/ml</w:t>
            </w:r>
          </w:p>
        </w:tc>
        <w:tc>
          <w:tcPr>
            <w:tcW w:w="2253" w:type="dxa"/>
            <w:vAlign w:val="center"/>
          </w:tcPr>
          <w:p w14:paraId="1922A661" w14:textId="77777777" w:rsidR="00912DDB" w:rsidRPr="00912DDB" w:rsidRDefault="002B12A3" w:rsidP="001B72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PSA threshold </w:t>
            </w:r>
          </w:p>
          <w:p w14:paraId="3B0F0BE4" w14:textId="73121E55" w:rsidR="00042FB9" w:rsidRPr="00912DDB" w:rsidRDefault="002B12A3" w:rsidP="001B72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>3 ng/ml</w:t>
            </w:r>
          </w:p>
        </w:tc>
        <w:tc>
          <w:tcPr>
            <w:tcW w:w="2253" w:type="dxa"/>
            <w:vAlign w:val="center"/>
          </w:tcPr>
          <w:p w14:paraId="4B47FFEC" w14:textId="1B1368E1" w:rsidR="00042FB9" w:rsidRPr="00912DDB" w:rsidRDefault="00B82366" w:rsidP="001B72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>Biopsy</w:t>
            </w:r>
          </w:p>
        </w:tc>
      </w:tr>
      <w:tr w:rsidR="00042FB9" w14:paraId="2AA2AC18" w14:textId="77777777" w:rsidTr="001B726A">
        <w:tc>
          <w:tcPr>
            <w:tcW w:w="2252" w:type="dxa"/>
          </w:tcPr>
          <w:p w14:paraId="25E8FE9B" w14:textId="6A8C923F" w:rsidR="00042FB9" w:rsidRPr="00912DDB" w:rsidRDefault="002B12A3" w:rsidP="00115AF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>Sensitivity</w:t>
            </w:r>
          </w:p>
        </w:tc>
        <w:tc>
          <w:tcPr>
            <w:tcW w:w="2252" w:type="dxa"/>
            <w:vAlign w:val="center"/>
          </w:tcPr>
          <w:p w14:paraId="767C3BCC" w14:textId="712E99A9" w:rsidR="00042FB9" w:rsidRDefault="00B82366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85</w:t>
            </w:r>
            <w:r w:rsidR="00912DDB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2253" w:type="dxa"/>
            <w:vAlign w:val="center"/>
          </w:tcPr>
          <w:p w14:paraId="170F09DB" w14:textId="3582577E" w:rsidR="00042FB9" w:rsidRDefault="00912DDB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CEF">
              <w:rPr>
                <w:rFonts w:ascii="Arial" w:hAnsi="Arial" w:cs="Arial"/>
                <w:sz w:val="22"/>
                <w:szCs w:val="22"/>
              </w:rPr>
              <w:t>88.9</w:t>
            </w:r>
          </w:p>
        </w:tc>
        <w:tc>
          <w:tcPr>
            <w:tcW w:w="2253" w:type="dxa"/>
            <w:vAlign w:val="center"/>
          </w:tcPr>
          <w:p w14:paraId="36F9DD11" w14:textId="0CB343D7" w:rsidR="00042FB9" w:rsidRDefault="00B82366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</w:tr>
      <w:tr w:rsidR="00042FB9" w14:paraId="3FA2BA5B" w14:textId="77777777" w:rsidTr="001B726A">
        <w:tc>
          <w:tcPr>
            <w:tcW w:w="2252" w:type="dxa"/>
          </w:tcPr>
          <w:p w14:paraId="3DB0E32B" w14:textId="22BCE743" w:rsidR="00042FB9" w:rsidRPr="00912DDB" w:rsidRDefault="002B12A3" w:rsidP="00115AF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2DDB">
              <w:rPr>
                <w:rFonts w:ascii="Arial" w:hAnsi="Arial" w:cs="Arial"/>
                <w:b/>
                <w:bCs/>
                <w:sz w:val="22"/>
                <w:szCs w:val="22"/>
              </w:rPr>
              <w:t>Specificity</w:t>
            </w:r>
          </w:p>
        </w:tc>
        <w:tc>
          <w:tcPr>
            <w:tcW w:w="2252" w:type="dxa"/>
            <w:vAlign w:val="center"/>
          </w:tcPr>
          <w:p w14:paraId="4607C947" w14:textId="2155BB91" w:rsidR="00042FB9" w:rsidRDefault="005E66A2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88.7</w:t>
            </w:r>
          </w:p>
        </w:tc>
        <w:tc>
          <w:tcPr>
            <w:tcW w:w="2253" w:type="dxa"/>
            <w:vAlign w:val="center"/>
          </w:tcPr>
          <w:p w14:paraId="33C18EC5" w14:textId="12EA76CE" w:rsidR="00042FB9" w:rsidRDefault="005E66A2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80.2</w:t>
            </w:r>
          </w:p>
        </w:tc>
        <w:tc>
          <w:tcPr>
            <w:tcW w:w="2253" w:type="dxa"/>
            <w:vAlign w:val="center"/>
          </w:tcPr>
          <w:p w14:paraId="238EFD93" w14:textId="427F2DBF" w:rsidR="00042FB9" w:rsidRDefault="00B82366" w:rsidP="001B72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06038D">
              <w:rPr>
                <w:rFonts w:ascii="Arial" w:hAnsi="Arial" w:cs="Arial"/>
                <w:sz w:val="22"/>
                <w:szCs w:val="22"/>
              </w:rPr>
              <w:t>0.4</w:t>
            </w:r>
          </w:p>
        </w:tc>
      </w:tr>
    </w:tbl>
    <w:p w14:paraId="307DE258" w14:textId="73FCBC25" w:rsidR="00912DDB" w:rsidRDefault="00912DDB" w:rsidP="00912DDB">
      <w:pPr>
        <w:spacing w:before="240"/>
        <w:rPr>
          <w:rFonts w:ascii="Arial" w:hAnsi="Arial" w:cs="Arial"/>
          <w:sz w:val="22"/>
          <w:szCs w:val="22"/>
        </w:rPr>
      </w:pPr>
      <w:r w:rsidRPr="00912DDB">
        <w:rPr>
          <w:rFonts w:ascii="Arial" w:hAnsi="Arial" w:cs="Arial"/>
          <w:sz w:val="22"/>
          <w:szCs w:val="22"/>
        </w:rPr>
        <w:t>PSA</w:t>
      </w:r>
      <w:r w:rsidR="00210717">
        <w:rPr>
          <w:rFonts w:ascii="Arial" w:hAnsi="Arial" w:cs="Arial"/>
          <w:sz w:val="22"/>
          <w:szCs w:val="22"/>
        </w:rPr>
        <w:t xml:space="preserve"> screening thresholds vary. Typically, a threshold between 3.0 ng/ml and </w:t>
      </w:r>
      <w:r w:rsidRPr="00912DDB">
        <w:rPr>
          <w:rFonts w:ascii="Arial" w:hAnsi="Arial" w:cs="Arial"/>
          <w:sz w:val="22"/>
          <w:szCs w:val="22"/>
        </w:rPr>
        <w:t>4.0 ng/m</w:t>
      </w:r>
      <w:r w:rsidR="00210717">
        <w:rPr>
          <w:rFonts w:ascii="Arial" w:hAnsi="Arial" w:cs="Arial"/>
          <w:sz w:val="22"/>
          <w:szCs w:val="22"/>
        </w:rPr>
        <w:t>l</w:t>
      </w:r>
      <w:r w:rsidRPr="00912DDB">
        <w:rPr>
          <w:rFonts w:ascii="Arial" w:hAnsi="Arial" w:cs="Arial"/>
          <w:sz w:val="22"/>
          <w:szCs w:val="22"/>
        </w:rPr>
        <w:t xml:space="preserve"> </w:t>
      </w:r>
      <w:r w:rsidR="00210717">
        <w:rPr>
          <w:rFonts w:ascii="Arial" w:hAnsi="Arial" w:cs="Arial"/>
          <w:sz w:val="22"/>
          <w:szCs w:val="22"/>
        </w:rPr>
        <w:t>is</w:t>
      </w:r>
      <w:r w:rsidRPr="00912DDB">
        <w:rPr>
          <w:rFonts w:ascii="Arial" w:hAnsi="Arial" w:cs="Arial"/>
          <w:sz w:val="22"/>
          <w:szCs w:val="22"/>
        </w:rPr>
        <w:t xml:space="preserve"> used</w:t>
      </w:r>
      <w:r w:rsidR="00210717">
        <w:rPr>
          <w:rFonts w:ascii="Arial" w:hAnsi="Arial" w:cs="Arial"/>
          <w:sz w:val="22"/>
          <w:szCs w:val="22"/>
        </w:rPr>
        <w:t>, although thresholds as low as 2.5 ng/ml have been reported. L</w:t>
      </w:r>
      <w:r w:rsidRPr="00912DDB">
        <w:rPr>
          <w:rFonts w:ascii="Arial" w:hAnsi="Arial" w:cs="Arial"/>
          <w:sz w:val="22"/>
          <w:szCs w:val="22"/>
        </w:rPr>
        <w:t>ower thresholds increase the probability of false-positive</w:t>
      </w:r>
      <w:r>
        <w:rPr>
          <w:rFonts w:ascii="Arial" w:hAnsi="Arial" w:cs="Arial"/>
          <w:sz w:val="22"/>
          <w:szCs w:val="22"/>
        </w:rPr>
        <w:t xml:space="preserve"> </w:t>
      </w:r>
      <w:r w:rsidRPr="00912DDB">
        <w:rPr>
          <w:rFonts w:ascii="Arial" w:hAnsi="Arial" w:cs="Arial"/>
          <w:sz w:val="22"/>
          <w:szCs w:val="22"/>
        </w:rPr>
        <w:t>results</w:t>
      </w:r>
      <w:r w:rsidR="00210717">
        <w:rPr>
          <w:rFonts w:ascii="Arial" w:hAnsi="Arial" w:cs="Arial"/>
          <w:sz w:val="22"/>
          <w:szCs w:val="22"/>
        </w:rPr>
        <w:t>.</w:t>
      </w:r>
      <w:r w:rsidRPr="00912DDB">
        <w:rPr>
          <w:rFonts w:ascii="Arial" w:hAnsi="Arial" w:cs="Arial"/>
          <w:sz w:val="22"/>
          <w:szCs w:val="22"/>
        </w:rPr>
        <w:t xml:space="preserve"> </w:t>
      </w:r>
      <w:r w:rsidR="00210717">
        <w:rPr>
          <w:rFonts w:ascii="Arial" w:hAnsi="Arial" w:cs="Arial"/>
          <w:sz w:val="22"/>
          <w:szCs w:val="22"/>
        </w:rPr>
        <w:t>N</w:t>
      </w:r>
      <w:r w:rsidRPr="00912DDB">
        <w:rPr>
          <w:rFonts w:ascii="Arial" w:hAnsi="Arial" w:cs="Arial"/>
          <w:sz w:val="22"/>
          <w:szCs w:val="22"/>
        </w:rPr>
        <w:t>o threshold completely excludes prostate cancer.</w:t>
      </w:r>
      <w:bookmarkStart w:id="0" w:name="_GoBack"/>
      <w:bookmarkEnd w:id="0"/>
    </w:p>
    <w:p w14:paraId="63B48CBF" w14:textId="06421720" w:rsidR="00F7272A" w:rsidRPr="00057E50" w:rsidRDefault="00F7272A" w:rsidP="000B3FBF">
      <w:pPr>
        <w:spacing w:before="240"/>
        <w:rPr>
          <w:rFonts w:ascii="Arial" w:hAnsi="Arial" w:cs="Arial"/>
          <w:sz w:val="22"/>
          <w:szCs w:val="22"/>
        </w:rPr>
      </w:pPr>
      <w:r w:rsidRPr="00057E50">
        <w:rPr>
          <w:rFonts w:ascii="Arial" w:hAnsi="Arial" w:cs="Arial"/>
          <w:sz w:val="22"/>
          <w:szCs w:val="22"/>
        </w:rPr>
        <w:t xml:space="preserve">Those with a positive PSA screen will be invited for biopsy. </w:t>
      </w:r>
      <w:r w:rsidR="00171BE3">
        <w:rPr>
          <w:rFonts w:ascii="Arial" w:hAnsi="Arial" w:cs="Arial"/>
          <w:sz w:val="22"/>
          <w:szCs w:val="22"/>
        </w:rPr>
        <w:t xml:space="preserve">This is a more </w:t>
      </w:r>
      <w:r w:rsidR="000B3FBF">
        <w:rPr>
          <w:rFonts w:ascii="Arial" w:hAnsi="Arial" w:cs="Arial"/>
          <w:sz w:val="22"/>
          <w:szCs w:val="22"/>
        </w:rPr>
        <w:t>invasive</w:t>
      </w:r>
      <w:r w:rsidR="003B474C">
        <w:rPr>
          <w:rFonts w:ascii="Arial" w:hAnsi="Arial" w:cs="Arial"/>
          <w:sz w:val="22"/>
          <w:szCs w:val="22"/>
        </w:rPr>
        <w:t xml:space="preserve"> and painful</w:t>
      </w:r>
      <w:r w:rsidR="000B3FBF">
        <w:rPr>
          <w:rFonts w:ascii="Arial" w:hAnsi="Arial" w:cs="Arial"/>
          <w:sz w:val="22"/>
          <w:szCs w:val="22"/>
        </w:rPr>
        <w:t xml:space="preserve"> test with the potential to do harm. 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Harms of prostate biopsy include </w:t>
      </w:r>
      <w:r w:rsidR="001D099C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haematuria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0B3FB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310 men per 1000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, infection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0B3FB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9 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men </w:t>
      </w:r>
      <w:r w:rsidR="000B3FB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per 1000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hospital admission 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0B3FBF"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21 men per 1000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and death</w:t>
      </w:r>
      <w:r w:rsidR="000B3F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(2 men per 1000)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51BEC0B0" w14:textId="4C92011B" w:rsidR="0006038D" w:rsidRDefault="0006038D" w:rsidP="00F7272A">
      <w:pPr>
        <w:rPr>
          <w:rFonts w:ascii="Arial" w:hAnsi="Arial" w:cs="Arial"/>
          <w:sz w:val="22"/>
          <w:szCs w:val="22"/>
        </w:rPr>
      </w:pPr>
    </w:p>
    <w:p w14:paraId="0C58421A" w14:textId="77777777" w:rsidR="001B726A" w:rsidRPr="00057E50" w:rsidRDefault="001B726A" w:rsidP="001B726A">
      <w:pPr>
        <w:rPr>
          <w:rFonts w:ascii="Arial" w:hAnsi="Arial" w:cs="Arial"/>
          <w:sz w:val="22"/>
          <w:szCs w:val="22"/>
        </w:rPr>
      </w:pP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Overdiagnosis occurs when cancer is detected correctly but would not cause symptoms or death.</w:t>
      </w:r>
      <w:r w:rsidRPr="00057E50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057E50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European Randomised Study of Screening for Prostate Cancer (ERSP) estimated the prevalence of overdiagnosis ranged from 40% to 56% of men screened by PSA who went on the receive a diagnosis of prostate cancer.</w:t>
      </w:r>
    </w:p>
    <w:p w14:paraId="4F65ABB4" w14:textId="00D2A222" w:rsidR="00F7272A" w:rsidRDefault="00F7272A" w:rsidP="00115AF4">
      <w:pPr>
        <w:rPr>
          <w:rFonts w:ascii="Arial" w:hAnsi="Arial" w:cs="Arial"/>
          <w:sz w:val="22"/>
          <w:szCs w:val="22"/>
        </w:rPr>
      </w:pPr>
    </w:p>
    <w:p w14:paraId="17C0DEB6" w14:textId="2776F8D5" w:rsidR="001B726A" w:rsidRDefault="001B726A" w:rsidP="001B72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Overdiagnosis leads to overtreatment. </w:t>
      </w:r>
      <w:r w:rsidRPr="00057E50">
        <w:rPr>
          <w:rFonts w:ascii="Arial" w:hAnsi="Arial" w:cs="Arial"/>
          <w:sz w:val="22"/>
          <w:szCs w:val="22"/>
        </w:rPr>
        <w:t>Radical prostatectomy</w:t>
      </w:r>
      <w:r>
        <w:rPr>
          <w:rFonts w:ascii="Arial" w:hAnsi="Arial" w:cs="Arial"/>
          <w:sz w:val="22"/>
          <w:szCs w:val="22"/>
        </w:rPr>
        <w:t xml:space="preserve"> (removal of the prostate)</w:t>
      </w:r>
      <w:r w:rsidRPr="00057E50">
        <w:rPr>
          <w:rFonts w:ascii="Arial" w:hAnsi="Arial" w:cs="Arial"/>
          <w:sz w:val="22"/>
          <w:szCs w:val="22"/>
        </w:rPr>
        <w:t>, radiation therapy and androgen deprivation therapy are the most common treatments of prostate cancer</w:t>
      </w:r>
      <w:r>
        <w:rPr>
          <w:rFonts w:ascii="Arial" w:hAnsi="Arial" w:cs="Arial"/>
          <w:sz w:val="22"/>
          <w:szCs w:val="22"/>
        </w:rPr>
        <w:t>. Prostatectomy carries a number of long-term risks including urinary incontinence and erectile dysfunction.</w:t>
      </w:r>
    </w:p>
    <w:p w14:paraId="2BA2987E" w14:textId="5E1AC107" w:rsidR="001B726A" w:rsidRDefault="001B726A" w:rsidP="00115AF4">
      <w:pPr>
        <w:rPr>
          <w:rFonts w:ascii="Arial" w:hAnsi="Arial" w:cs="Arial"/>
          <w:sz w:val="22"/>
          <w:szCs w:val="22"/>
        </w:rPr>
      </w:pPr>
    </w:p>
    <w:p w14:paraId="7F67B4C2" w14:textId="50762AC7" w:rsidR="00A42787" w:rsidRDefault="00A42787" w:rsidP="00115A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EFFECTIVENESS OF SCREENING </w:t>
      </w:r>
    </w:p>
    <w:p w14:paraId="0E2A46D8" w14:textId="214A3A48" w:rsidR="00A42787" w:rsidRPr="00A42787" w:rsidRDefault="00A42787" w:rsidP="00A42787">
      <w:pPr>
        <w:rPr>
          <w:rFonts w:ascii="Arial" w:hAnsi="Arial" w:cs="Arial"/>
          <w:bCs/>
          <w:sz w:val="22"/>
          <w:szCs w:val="22"/>
        </w:rPr>
      </w:pPr>
      <w:r w:rsidRPr="00A42787">
        <w:rPr>
          <w:rFonts w:ascii="Arial" w:hAnsi="Arial" w:cs="Arial"/>
          <w:bCs/>
          <w:sz w:val="22"/>
          <w:szCs w:val="22"/>
        </w:rPr>
        <w:t xml:space="preserve">Evidence for </w:t>
      </w:r>
      <w:r>
        <w:rPr>
          <w:rFonts w:ascii="Arial" w:hAnsi="Arial" w:cs="Arial"/>
          <w:bCs/>
          <w:sz w:val="22"/>
          <w:szCs w:val="22"/>
        </w:rPr>
        <w:t>the benefits of screening comes from two randomised controlled trails (RCT</w:t>
      </w:r>
      <w:r w:rsidR="00912DDB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).  The </w:t>
      </w:r>
      <w:r w:rsidRPr="00A42787">
        <w:rPr>
          <w:rFonts w:ascii="Arial" w:hAnsi="Arial" w:cs="Arial"/>
          <w:bCs/>
          <w:sz w:val="22"/>
          <w:szCs w:val="22"/>
        </w:rPr>
        <w:t>European Randomized Study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A42787">
        <w:rPr>
          <w:rFonts w:ascii="Arial" w:hAnsi="Arial" w:cs="Arial"/>
          <w:bCs/>
          <w:sz w:val="22"/>
          <w:szCs w:val="22"/>
        </w:rPr>
        <w:t>of Screening for Prostate Cancer (ERSPC)</w:t>
      </w:r>
      <w:r>
        <w:rPr>
          <w:rFonts w:ascii="Arial" w:hAnsi="Arial" w:cs="Arial"/>
          <w:bCs/>
          <w:sz w:val="22"/>
          <w:szCs w:val="22"/>
        </w:rPr>
        <w:t xml:space="preserve"> is a multi-centre RCT conducted across 7 European countries</w:t>
      </w:r>
      <w:r w:rsidR="00912DDB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and the </w:t>
      </w:r>
      <w:r w:rsidRPr="00A42787">
        <w:rPr>
          <w:rFonts w:ascii="Arial" w:hAnsi="Arial" w:cs="Arial"/>
          <w:bCs/>
          <w:sz w:val="22"/>
          <w:szCs w:val="22"/>
        </w:rPr>
        <w:t>Prostate, Lung, Colorectal, and</w:t>
      </w:r>
    </w:p>
    <w:p w14:paraId="59C5B524" w14:textId="7E61C033" w:rsidR="008372A3" w:rsidRDefault="00A42787" w:rsidP="00115AF4">
      <w:pPr>
        <w:rPr>
          <w:rFonts w:ascii="Arial" w:hAnsi="Arial" w:cs="Arial"/>
          <w:bCs/>
          <w:sz w:val="22"/>
          <w:szCs w:val="22"/>
        </w:rPr>
      </w:pPr>
      <w:r w:rsidRPr="00A42787">
        <w:rPr>
          <w:rFonts w:ascii="Arial" w:hAnsi="Arial" w:cs="Arial"/>
          <w:bCs/>
          <w:sz w:val="22"/>
          <w:szCs w:val="22"/>
        </w:rPr>
        <w:t>Ovarian Cancer Screening Trial (PLCO)</w:t>
      </w:r>
      <w:r>
        <w:rPr>
          <w:rFonts w:ascii="Arial" w:hAnsi="Arial" w:cs="Arial"/>
          <w:bCs/>
          <w:sz w:val="22"/>
          <w:szCs w:val="22"/>
        </w:rPr>
        <w:t xml:space="preserve"> conducted in the US. The PLCO trial found no effect of screening on prostate cancer mortality or all-cause mortality. A small absolute reduction in prostate cancer mortality was reported in the ERSPC study. </w:t>
      </w:r>
      <w:r w:rsidRPr="00A42787">
        <w:rPr>
          <w:rFonts w:ascii="Arial" w:hAnsi="Arial" w:cs="Arial"/>
          <w:bCs/>
          <w:sz w:val="22"/>
          <w:szCs w:val="22"/>
        </w:rPr>
        <w:t>However, there was evidence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A42787">
        <w:rPr>
          <w:rFonts w:ascii="Arial" w:hAnsi="Arial" w:cs="Arial"/>
          <w:bCs/>
          <w:sz w:val="22"/>
          <w:szCs w:val="22"/>
        </w:rPr>
        <w:t>of heterogeneity between study centres,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A42787">
        <w:rPr>
          <w:rFonts w:ascii="Arial" w:hAnsi="Arial" w:cs="Arial"/>
          <w:bCs/>
          <w:sz w:val="22"/>
          <w:szCs w:val="22"/>
        </w:rPr>
        <w:t>with some finding that screening reduced prostate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A42787">
        <w:rPr>
          <w:rFonts w:ascii="Arial" w:hAnsi="Arial" w:cs="Arial"/>
          <w:bCs/>
          <w:sz w:val="22"/>
          <w:szCs w:val="22"/>
        </w:rPr>
        <w:t>cancer mortality while others did not.</w:t>
      </w:r>
      <w:r>
        <w:rPr>
          <w:rFonts w:ascii="Arial" w:hAnsi="Arial" w:cs="Arial"/>
          <w:bCs/>
          <w:sz w:val="22"/>
          <w:szCs w:val="22"/>
        </w:rPr>
        <w:t xml:space="preserve"> The ERSPC study found no evidence for a benefit of screening on all-cause mortality</w:t>
      </w:r>
      <w:r w:rsidR="0007577A">
        <w:rPr>
          <w:rFonts w:ascii="Arial" w:hAnsi="Arial" w:cs="Arial"/>
          <w:bCs/>
          <w:sz w:val="22"/>
          <w:szCs w:val="22"/>
        </w:rPr>
        <w:t>.</w:t>
      </w:r>
    </w:p>
    <w:p w14:paraId="071770B9" w14:textId="77777777" w:rsidR="0007577A" w:rsidRPr="0007577A" w:rsidRDefault="0007577A" w:rsidP="00115AF4">
      <w:pPr>
        <w:rPr>
          <w:rFonts w:ascii="Arial" w:hAnsi="Arial" w:cs="Arial"/>
          <w:bCs/>
          <w:sz w:val="22"/>
          <w:szCs w:val="22"/>
        </w:rPr>
      </w:pPr>
    </w:p>
    <w:p w14:paraId="5867411C" w14:textId="785F15CA" w:rsidR="00F66CEF" w:rsidRDefault="00F66CEF" w:rsidP="00115A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COST EFFECTIVENESS</w:t>
      </w:r>
      <w:r w:rsidR="001C7A2E">
        <w:rPr>
          <w:rFonts w:ascii="Arial" w:hAnsi="Arial" w:cs="Arial"/>
          <w:b/>
          <w:sz w:val="22"/>
          <w:szCs w:val="22"/>
          <w:vertAlign w:val="superscript"/>
        </w:rPr>
        <w:t>2</w:t>
      </w:r>
      <w:r w:rsidR="002E77DB">
        <w:rPr>
          <w:rFonts w:ascii="Arial" w:hAnsi="Arial" w:cs="Arial"/>
          <w:b/>
          <w:sz w:val="22"/>
          <w:szCs w:val="22"/>
        </w:rPr>
        <w:t xml:space="preserve"> </w:t>
      </w:r>
    </w:p>
    <w:p w14:paraId="0363DF20" w14:textId="62FE1B6B" w:rsidR="00F66CEF" w:rsidRPr="000577A4" w:rsidRDefault="000577A4" w:rsidP="00115AF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 simulation study based on ERSPC data found that screening </w:t>
      </w:r>
      <w:r w:rsidR="002E77DB">
        <w:rPr>
          <w:rFonts w:ascii="Arial" w:hAnsi="Arial" w:cs="Arial"/>
          <w:bCs/>
          <w:sz w:val="22"/>
          <w:szCs w:val="22"/>
        </w:rPr>
        <w:t>between the</w:t>
      </w:r>
      <w:r>
        <w:rPr>
          <w:rFonts w:ascii="Arial" w:hAnsi="Arial" w:cs="Arial"/>
          <w:bCs/>
          <w:sz w:val="22"/>
          <w:szCs w:val="22"/>
        </w:rPr>
        <w:t xml:space="preserve"> ages </w:t>
      </w:r>
      <w:r w:rsidR="002E77DB">
        <w:rPr>
          <w:rFonts w:ascii="Arial" w:hAnsi="Arial" w:cs="Arial"/>
          <w:bCs/>
          <w:sz w:val="22"/>
          <w:szCs w:val="22"/>
        </w:rPr>
        <w:t xml:space="preserve">of </w:t>
      </w:r>
      <w:r>
        <w:rPr>
          <w:rFonts w:ascii="Arial" w:hAnsi="Arial" w:cs="Arial"/>
          <w:bCs/>
          <w:sz w:val="22"/>
          <w:szCs w:val="22"/>
        </w:rPr>
        <w:t>5</w:t>
      </w:r>
      <w:r w:rsidR="002E77DB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2E77D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59 years, with two-year intervals, had an incremental cost-effectiveness ratio of $73</w:t>
      </w:r>
      <w:r w:rsidR="002E77DB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000 US per </w:t>
      </w:r>
      <w:r w:rsidR="002E77DB">
        <w:rPr>
          <w:rFonts w:ascii="Arial" w:hAnsi="Arial" w:cs="Arial"/>
          <w:bCs/>
          <w:sz w:val="22"/>
          <w:szCs w:val="22"/>
        </w:rPr>
        <w:t>Quality Adjusted Life Year (</w:t>
      </w:r>
      <w:r>
        <w:rPr>
          <w:rFonts w:ascii="Arial" w:hAnsi="Arial" w:cs="Arial"/>
          <w:bCs/>
          <w:sz w:val="22"/>
          <w:szCs w:val="22"/>
        </w:rPr>
        <w:t>QALY</w:t>
      </w:r>
      <w:r w:rsidR="002E77D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 xml:space="preserve"> gained. This is equivalent to approximately $95</w:t>
      </w:r>
      <w:r w:rsidR="002E77DB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>000 CAD and is below the $100</w:t>
      </w:r>
      <w:r w:rsidR="002E77DB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>000 CAD cost effectiveness threshold. Screening above the age of 60 was not considered cost-effective because of loss of QALYs due to overdiagnosis.</w:t>
      </w:r>
      <w:r w:rsidR="002E77DB">
        <w:rPr>
          <w:rFonts w:ascii="Arial" w:hAnsi="Arial" w:cs="Arial"/>
          <w:bCs/>
          <w:sz w:val="22"/>
          <w:szCs w:val="22"/>
        </w:rPr>
        <w:t xml:space="preserve"> However, simulation studies are limited by the accuracy of the parameters included in the model. Further, the cost data obtained from the ERSPC study may not be generalisable to Canada. </w:t>
      </w:r>
    </w:p>
    <w:p w14:paraId="23177519" w14:textId="77777777" w:rsidR="008372A3" w:rsidRDefault="008372A3" w:rsidP="00115AF4">
      <w:pPr>
        <w:rPr>
          <w:rFonts w:ascii="Arial" w:hAnsi="Arial" w:cs="Arial"/>
          <w:b/>
          <w:sz w:val="22"/>
          <w:szCs w:val="22"/>
        </w:rPr>
      </w:pPr>
    </w:p>
    <w:p w14:paraId="7BF54EFB" w14:textId="10C2FAAD" w:rsidR="008372A3" w:rsidRDefault="008372A3" w:rsidP="00115A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RECOMMENDATIONS </w:t>
      </w:r>
    </w:p>
    <w:p w14:paraId="1777DE44" w14:textId="71C27C67" w:rsidR="00FD00D6" w:rsidRDefault="00FD00D6" w:rsidP="00FD00D6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We recommend </w:t>
      </w:r>
      <w:r w:rsidRPr="00ED3C0A">
        <w:rPr>
          <w:rFonts w:ascii="Arial" w:hAnsi="Arial" w:cs="Arial"/>
          <w:bCs/>
          <w:i/>
          <w:iCs/>
          <w:sz w:val="22"/>
          <w:szCs w:val="22"/>
        </w:rPr>
        <w:t>[screening / not-screening]</w:t>
      </w:r>
      <w:r>
        <w:rPr>
          <w:rFonts w:ascii="Arial" w:hAnsi="Arial" w:cs="Arial"/>
          <w:bCs/>
          <w:sz w:val="22"/>
          <w:szCs w:val="22"/>
        </w:rPr>
        <w:t xml:space="preserve"> for prostate cancer with the prostate-specific antigen (PSA) test.</w:t>
      </w:r>
    </w:p>
    <w:p w14:paraId="4D2B64D7" w14:textId="77777777" w:rsidR="00FD00D6" w:rsidRDefault="00FD00D6" w:rsidP="00FD00D6">
      <w:pPr>
        <w:rPr>
          <w:rFonts w:ascii="Arial" w:hAnsi="Arial" w:cs="Arial"/>
          <w:bCs/>
          <w:sz w:val="22"/>
          <w:szCs w:val="22"/>
        </w:rPr>
      </w:pPr>
    </w:p>
    <w:p w14:paraId="6C96A813" w14:textId="14C87BD4" w:rsidR="00FD00D6" w:rsidRDefault="00FD00D6" w:rsidP="00FD00D6">
      <w:pPr>
        <w:rPr>
          <w:rFonts w:ascii="Arial" w:hAnsi="Arial" w:cs="Arial"/>
          <w:bCs/>
          <w:sz w:val="22"/>
          <w:szCs w:val="22"/>
        </w:rPr>
      </w:pPr>
      <w:r w:rsidRPr="008372A3">
        <w:rPr>
          <w:rFonts w:ascii="Arial" w:hAnsi="Arial" w:cs="Arial"/>
          <w:bCs/>
          <w:sz w:val="22"/>
          <w:szCs w:val="22"/>
        </w:rPr>
        <w:t>The task force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8372A3">
        <w:rPr>
          <w:rFonts w:ascii="Arial" w:hAnsi="Arial" w:cs="Arial"/>
          <w:bCs/>
          <w:sz w:val="22"/>
          <w:szCs w:val="22"/>
        </w:rPr>
        <w:t>based th</w:t>
      </w:r>
      <w:r>
        <w:rPr>
          <w:rFonts w:ascii="Arial" w:hAnsi="Arial" w:cs="Arial"/>
          <w:bCs/>
          <w:sz w:val="22"/>
          <w:szCs w:val="22"/>
        </w:rPr>
        <w:t>is</w:t>
      </w:r>
      <w:r w:rsidRPr="008372A3">
        <w:rPr>
          <w:rFonts w:ascii="Arial" w:hAnsi="Arial" w:cs="Arial"/>
          <w:bCs/>
          <w:sz w:val="22"/>
          <w:szCs w:val="22"/>
        </w:rPr>
        <w:t xml:space="preserve"> recommendation on the overall balance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8372A3">
        <w:rPr>
          <w:rFonts w:ascii="Arial" w:hAnsi="Arial" w:cs="Arial"/>
          <w:bCs/>
          <w:sz w:val="22"/>
          <w:szCs w:val="22"/>
        </w:rPr>
        <w:t>between the possible benefits and harms of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8372A3">
        <w:rPr>
          <w:rFonts w:ascii="Arial" w:hAnsi="Arial" w:cs="Arial"/>
          <w:bCs/>
          <w:sz w:val="22"/>
          <w:szCs w:val="22"/>
        </w:rPr>
        <w:t>PSA screening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6A4320D2" w14:textId="77777777" w:rsidR="00FD00D6" w:rsidRDefault="00FD00D6" w:rsidP="00FD00D6">
      <w:pPr>
        <w:rPr>
          <w:rFonts w:ascii="Arial" w:hAnsi="Arial" w:cs="Arial"/>
          <w:bCs/>
        </w:rPr>
      </w:pPr>
    </w:p>
    <w:p w14:paraId="6ABAC4C8" w14:textId="77777777" w:rsidR="00FD00D6" w:rsidRDefault="00FD00D6" w:rsidP="00FD00D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Argument 1</w:t>
      </w:r>
    </w:p>
    <w:p w14:paraId="1A1C0B71" w14:textId="77777777" w:rsidR="00FD00D6" w:rsidRDefault="00FD00D6" w:rsidP="00FD00D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Argument 2</w:t>
      </w:r>
    </w:p>
    <w:p w14:paraId="40EFBF46" w14:textId="77777777" w:rsidR="00FD00D6" w:rsidRDefault="00FD00D6" w:rsidP="00FD00D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Argument 3</w:t>
      </w:r>
    </w:p>
    <w:p w14:paraId="3BA2C978" w14:textId="209E3AB8" w:rsidR="00FD00D6" w:rsidRDefault="00FD00D6" w:rsidP="008372A3">
      <w:pPr>
        <w:rPr>
          <w:rFonts w:ascii="Arial" w:hAnsi="Arial" w:cs="Arial"/>
          <w:bCs/>
          <w:sz w:val="22"/>
          <w:szCs w:val="22"/>
        </w:rPr>
      </w:pPr>
    </w:p>
    <w:p w14:paraId="713F6BF3" w14:textId="77777777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0151A3EE" w14:textId="77777777" w:rsidR="00FD00D6" w:rsidRDefault="00FD00D6" w:rsidP="008372A3">
      <w:pPr>
        <w:rPr>
          <w:rFonts w:ascii="Arial" w:hAnsi="Arial" w:cs="Arial"/>
          <w:bCs/>
          <w:sz w:val="22"/>
          <w:szCs w:val="22"/>
        </w:rPr>
      </w:pPr>
    </w:p>
    <w:p w14:paraId="6741A5C8" w14:textId="0AD71A67" w:rsidR="008372A3" w:rsidRDefault="008372A3" w:rsidP="008372A3">
      <w:pPr>
        <w:rPr>
          <w:rFonts w:ascii="Arial" w:hAnsi="Arial" w:cs="Arial"/>
          <w:bCs/>
          <w:sz w:val="22"/>
          <w:szCs w:val="22"/>
        </w:rPr>
      </w:pPr>
    </w:p>
    <w:p w14:paraId="791C8CF3" w14:textId="393B2E52" w:rsidR="008372A3" w:rsidRDefault="008372A3" w:rsidP="008372A3">
      <w:pPr>
        <w:rPr>
          <w:rFonts w:ascii="Arial" w:hAnsi="Arial" w:cs="Arial"/>
          <w:bCs/>
          <w:sz w:val="22"/>
          <w:szCs w:val="22"/>
        </w:rPr>
      </w:pPr>
    </w:p>
    <w:p w14:paraId="2E6CD030" w14:textId="1F7B9775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636E2B0F" w14:textId="1476CA33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2C37C1A6" w14:textId="720CBCD7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6DB58581" w14:textId="67CF9A60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22624019" w14:textId="2E41D626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2EC14C31" w14:textId="4894CC37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0F6B40B6" w14:textId="77777777" w:rsidR="0007577A" w:rsidRDefault="0007577A" w:rsidP="008372A3">
      <w:pPr>
        <w:rPr>
          <w:rFonts w:ascii="Arial" w:hAnsi="Arial" w:cs="Arial"/>
          <w:bCs/>
          <w:sz w:val="22"/>
          <w:szCs w:val="22"/>
        </w:rPr>
      </w:pPr>
    </w:p>
    <w:p w14:paraId="135219FC" w14:textId="1DBBE4C8" w:rsidR="002E77DB" w:rsidRPr="0007577A" w:rsidRDefault="002E77DB" w:rsidP="008372A3">
      <w:pPr>
        <w:rPr>
          <w:rFonts w:ascii="Arial" w:hAnsi="Arial" w:cs="Arial"/>
          <w:b/>
          <w:sz w:val="22"/>
          <w:szCs w:val="22"/>
        </w:rPr>
      </w:pPr>
      <w:r w:rsidRPr="0007577A">
        <w:rPr>
          <w:rFonts w:ascii="Arial" w:hAnsi="Arial" w:cs="Arial"/>
          <w:b/>
          <w:sz w:val="22"/>
          <w:szCs w:val="22"/>
        </w:rPr>
        <w:lastRenderedPageBreak/>
        <w:t xml:space="preserve">REFERENCES </w:t>
      </w:r>
    </w:p>
    <w:p w14:paraId="2DADCC46" w14:textId="77777777" w:rsidR="002E77DB" w:rsidRDefault="002E77DB" w:rsidP="008372A3">
      <w:pPr>
        <w:rPr>
          <w:rFonts w:ascii="Arial" w:hAnsi="Arial" w:cs="Arial"/>
          <w:bCs/>
          <w:sz w:val="22"/>
          <w:szCs w:val="22"/>
        </w:rPr>
      </w:pPr>
    </w:p>
    <w:p w14:paraId="7F6886AA" w14:textId="77777777" w:rsidR="001C7A2E" w:rsidRDefault="001C7A2E" w:rsidP="001C7A2E">
      <w:pPr>
        <w:pStyle w:val="ListParagraph"/>
        <w:numPr>
          <w:ilvl w:val="0"/>
          <w:numId w:val="8"/>
        </w:numPr>
        <w:rPr>
          <w:rStyle w:val="citeddoctitle"/>
          <w:rFonts w:ascii="Arial" w:hAnsi="Arial" w:cs="Arial"/>
          <w:color w:val="323232"/>
        </w:rPr>
      </w:pPr>
      <w:r w:rsidRPr="001C7A2E">
        <w:rPr>
          <w:rStyle w:val="citeddoctitle"/>
          <w:rFonts w:ascii="Arial" w:hAnsi="Arial" w:cs="Arial"/>
          <w:color w:val="323232"/>
        </w:rPr>
        <w:t>Bell N , Connor Gorber S , Shane A , et al . Canadian Task Force on Preventive Health Care. Recommendations on screening for prostate cancer with the prostate-specific antigen test. CMAJ 2014;186:1225–34.doi:10.1503/cmaj.140703</w:t>
      </w:r>
    </w:p>
    <w:p w14:paraId="587E04AA" w14:textId="58DE9F47" w:rsidR="001C7A2E" w:rsidRPr="0007577A" w:rsidRDefault="0007577A" w:rsidP="008372A3">
      <w:pPr>
        <w:pStyle w:val="ListParagraph"/>
        <w:numPr>
          <w:ilvl w:val="0"/>
          <w:numId w:val="8"/>
        </w:numPr>
        <w:rPr>
          <w:rFonts w:ascii="Arial" w:hAnsi="Arial" w:cs="Arial"/>
          <w:color w:val="323232"/>
        </w:rPr>
        <w:sectPr w:rsidR="001C7A2E" w:rsidRPr="0007577A" w:rsidSect="000405B5">
          <w:headerReference w:type="default" r:id="rId7"/>
          <w:foot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Heijnsdijk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E. A. M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, 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de Carvalho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T. M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, 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Auvinen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A , et al . 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Cost-effectiveness of Prostate Cancer Screening: A Simulation Study Based on ERSPC Data,</w:t>
      </w:r>
      <w:r w:rsidRPr="001C7A2E">
        <w:rPr>
          <w:rStyle w:val="apple-converted-space"/>
          <w:rFonts w:ascii="Source Sans Pro" w:hAnsi="Source Sans Pro"/>
          <w:color w:val="2A2A2A"/>
          <w:sz w:val="23"/>
          <w:szCs w:val="23"/>
          <w:shd w:val="clear" w:color="auto" w:fill="FFFFFF"/>
        </w:rPr>
        <w:t> </w:t>
      </w:r>
      <w:r w:rsidRPr="001C7A2E"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</w:rPr>
        <w:t>JNCI: Journal of the National Cancer Institute</w:t>
      </w:r>
      <w:r w:rsidRPr="001C7A2E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107, Issue 1, January 2015, dju366,</w:t>
      </w:r>
      <w:r w:rsidRPr="001C7A2E">
        <w:rPr>
          <w:rStyle w:val="apple-converted-space"/>
          <w:rFonts w:ascii="Source Sans Pro" w:hAnsi="Source Sans Pro"/>
          <w:color w:val="2A2A2A"/>
          <w:sz w:val="23"/>
          <w:szCs w:val="23"/>
          <w:shd w:val="clear" w:color="auto" w:fill="FFFFFF"/>
        </w:rPr>
        <w:t> </w:t>
      </w:r>
      <w:hyperlink r:id="rId9" w:history="1">
        <w:r w:rsidRPr="001C7A2E"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</w:rPr>
          <w:t>https://doi.org/10.1093/jnci/dju366</w:t>
        </w:r>
      </w:hyperlink>
    </w:p>
    <w:p w14:paraId="6DE5AD43" w14:textId="4DEC2211" w:rsidR="008372A3" w:rsidRPr="008372A3" w:rsidRDefault="008372A3" w:rsidP="008372A3">
      <w:pPr>
        <w:rPr>
          <w:rFonts w:ascii="Arial" w:hAnsi="Arial" w:cs="Arial"/>
          <w:bCs/>
          <w:sz w:val="22"/>
          <w:szCs w:val="22"/>
        </w:rPr>
      </w:pPr>
    </w:p>
    <w:sectPr w:rsidR="008372A3" w:rsidRPr="008372A3" w:rsidSect="008372A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7FBDA" w14:textId="77777777" w:rsidR="00062CFC" w:rsidRDefault="00062CFC" w:rsidP="00257947">
      <w:r>
        <w:separator/>
      </w:r>
    </w:p>
  </w:endnote>
  <w:endnote w:type="continuationSeparator" w:id="0">
    <w:p w14:paraId="536502EE" w14:textId="77777777" w:rsidR="00062CFC" w:rsidRDefault="00062CFC" w:rsidP="0025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Std 55 Roman">
    <w:altName w:val="Cambria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19A06" w14:textId="3FF7B751" w:rsidR="009153B9" w:rsidRPr="009153B9" w:rsidRDefault="009153B9" w:rsidP="009153B9">
    <w:pPr>
      <w:pStyle w:val="Header"/>
      <w:ind w:left="-115"/>
      <w:jc w:val="center"/>
      <w:rPr>
        <w:rFonts w:ascii="Arial" w:hAnsi="Arial" w:cs="Arial"/>
      </w:rPr>
    </w:pPr>
    <w:r w:rsidRPr="009153B9">
      <w:rPr>
        <w:rFonts w:ascii="Arial" w:hAnsi="Arial" w:cs="Arial"/>
        <w:color w:val="808080" w:themeColor="background1" w:themeShade="80"/>
        <w:sz w:val="18"/>
        <w:lang w:val="en-US"/>
      </w:rPr>
      <w:t xml:space="preserve">Page 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begin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instrText xml:space="preserve"> PAGE </w:instrTex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separate"/>
    </w:r>
    <w:r w:rsidR="001D761D">
      <w:rPr>
        <w:rFonts w:ascii="Arial" w:hAnsi="Arial" w:cs="Arial"/>
        <w:noProof/>
        <w:color w:val="808080" w:themeColor="background1" w:themeShade="80"/>
        <w:sz w:val="18"/>
        <w:lang w:val="en-US"/>
      </w:rPr>
      <w:t>2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end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t xml:space="preserve"> of 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begin"/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instrText xml:space="preserve"> NUMPAGES </w:instrTex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separate"/>
    </w:r>
    <w:r w:rsidR="001D761D">
      <w:rPr>
        <w:rFonts w:ascii="Arial" w:hAnsi="Arial" w:cs="Arial"/>
        <w:noProof/>
        <w:color w:val="808080" w:themeColor="background1" w:themeShade="80"/>
        <w:sz w:val="18"/>
        <w:lang w:val="en-US"/>
      </w:rPr>
      <w:t>4</w:t>
    </w:r>
    <w:r w:rsidRPr="009153B9">
      <w:rPr>
        <w:rFonts w:ascii="Arial" w:hAnsi="Arial" w:cs="Arial"/>
        <w:color w:val="808080" w:themeColor="background1" w:themeShade="80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17A6E" w14:textId="77777777" w:rsidR="00062CFC" w:rsidRDefault="00062CFC" w:rsidP="00257947">
      <w:r>
        <w:separator/>
      </w:r>
    </w:p>
  </w:footnote>
  <w:footnote w:type="continuationSeparator" w:id="0">
    <w:p w14:paraId="1BF46F16" w14:textId="77777777" w:rsidR="00062CFC" w:rsidRDefault="00062CFC" w:rsidP="00257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76876" w14:textId="687E981D" w:rsidR="00257947" w:rsidRPr="00BB73E6" w:rsidRDefault="00257947" w:rsidP="00257947">
    <w:pPr>
      <w:pStyle w:val="Header"/>
      <w:ind w:left="-115"/>
      <w:jc w:val="center"/>
      <w:rPr>
        <w:rFonts w:ascii="Arial" w:hAnsi="Arial" w:cs="Arial"/>
      </w:rPr>
    </w:pPr>
    <w:r w:rsidRPr="00BB73E6">
      <w:rPr>
        <w:rFonts w:ascii="Arial" w:hAnsi="Arial" w:cs="Arial"/>
        <w:color w:val="808080" w:themeColor="background1" w:themeShade="80"/>
        <w:sz w:val="18"/>
      </w:rPr>
      <w:t>Imperial College London | Global Master</w:t>
    </w:r>
    <w:r>
      <w:rPr>
        <w:rFonts w:ascii="Arial" w:hAnsi="Arial" w:cs="Arial"/>
        <w:color w:val="808080" w:themeColor="background1" w:themeShade="80"/>
        <w:sz w:val="18"/>
      </w:rPr>
      <w:t xml:space="preserve"> of</w:t>
    </w:r>
    <w:r w:rsidRPr="00BB73E6">
      <w:rPr>
        <w:rFonts w:ascii="Arial" w:hAnsi="Arial" w:cs="Arial"/>
        <w:color w:val="808080" w:themeColor="background1" w:themeShade="80"/>
        <w:sz w:val="18"/>
      </w:rPr>
      <w:t xml:space="preserve"> Public Health | Foundations of Public Health Practice | </w:t>
    </w:r>
    <w:r w:rsidR="00643B42">
      <w:rPr>
        <w:rFonts w:ascii="Arial" w:hAnsi="Arial" w:cs="Arial"/>
        <w:color w:val="808080" w:themeColor="background1" w:themeShade="80"/>
        <w:sz w:val="18"/>
      </w:rPr>
      <w:t>2.4.06</w:t>
    </w:r>
  </w:p>
  <w:p w14:paraId="2A46DA95" w14:textId="77777777" w:rsidR="00257947" w:rsidRPr="00257947" w:rsidRDefault="00257947" w:rsidP="00257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AEC"/>
    <w:multiLevelType w:val="hybridMultilevel"/>
    <w:tmpl w:val="AED0E312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1177AF"/>
    <w:multiLevelType w:val="hybridMultilevel"/>
    <w:tmpl w:val="6E8EAD62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6D5B4D"/>
    <w:multiLevelType w:val="hybridMultilevel"/>
    <w:tmpl w:val="EAAC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4C1DD3"/>
    <w:multiLevelType w:val="hybridMultilevel"/>
    <w:tmpl w:val="CA360CFC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7772E1"/>
    <w:multiLevelType w:val="hybridMultilevel"/>
    <w:tmpl w:val="04C0ADB0"/>
    <w:lvl w:ilvl="0" w:tplc="E9200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281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3DA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E3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A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6D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43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8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C01C1"/>
    <w:multiLevelType w:val="hybridMultilevel"/>
    <w:tmpl w:val="EBB8784A"/>
    <w:lvl w:ilvl="0" w:tplc="43F69C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473797"/>
    <w:multiLevelType w:val="hybridMultilevel"/>
    <w:tmpl w:val="97122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E07DA3"/>
    <w:multiLevelType w:val="hybridMultilevel"/>
    <w:tmpl w:val="62AC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47"/>
    <w:rsid w:val="000405B5"/>
    <w:rsid w:val="00042FB9"/>
    <w:rsid w:val="0005205C"/>
    <w:rsid w:val="000577A4"/>
    <w:rsid w:val="00057E50"/>
    <w:rsid w:val="0006038D"/>
    <w:rsid w:val="00060EFF"/>
    <w:rsid w:val="00062CFC"/>
    <w:rsid w:val="0007577A"/>
    <w:rsid w:val="00087684"/>
    <w:rsid w:val="000947AF"/>
    <w:rsid w:val="000B3FBF"/>
    <w:rsid w:val="000C74F2"/>
    <w:rsid w:val="000D6C29"/>
    <w:rsid w:val="000E65EB"/>
    <w:rsid w:val="00113D28"/>
    <w:rsid w:val="00115AF4"/>
    <w:rsid w:val="00121CCF"/>
    <w:rsid w:val="0013081E"/>
    <w:rsid w:val="00142477"/>
    <w:rsid w:val="00171BE3"/>
    <w:rsid w:val="00193F12"/>
    <w:rsid w:val="001A6B14"/>
    <w:rsid w:val="001B726A"/>
    <w:rsid w:val="001C41D1"/>
    <w:rsid w:val="001C62BF"/>
    <w:rsid w:val="001C7A2E"/>
    <w:rsid w:val="001D099C"/>
    <w:rsid w:val="001D5E3A"/>
    <w:rsid w:val="001D761D"/>
    <w:rsid w:val="001F4AB3"/>
    <w:rsid w:val="00210717"/>
    <w:rsid w:val="00216C86"/>
    <w:rsid w:val="00221300"/>
    <w:rsid w:val="00234469"/>
    <w:rsid w:val="00257947"/>
    <w:rsid w:val="00264626"/>
    <w:rsid w:val="00281935"/>
    <w:rsid w:val="0028389C"/>
    <w:rsid w:val="00284B73"/>
    <w:rsid w:val="002A52D4"/>
    <w:rsid w:val="002B12A3"/>
    <w:rsid w:val="002E77DB"/>
    <w:rsid w:val="002F08A9"/>
    <w:rsid w:val="002F35A8"/>
    <w:rsid w:val="002F541F"/>
    <w:rsid w:val="00352F4B"/>
    <w:rsid w:val="00356E88"/>
    <w:rsid w:val="00376A8E"/>
    <w:rsid w:val="00393B95"/>
    <w:rsid w:val="003A77E7"/>
    <w:rsid w:val="003B474C"/>
    <w:rsid w:val="003B513B"/>
    <w:rsid w:val="003F750E"/>
    <w:rsid w:val="00412A56"/>
    <w:rsid w:val="004408FB"/>
    <w:rsid w:val="00442E97"/>
    <w:rsid w:val="00446DCE"/>
    <w:rsid w:val="00454FB7"/>
    <w:rsid w:val="004A2C17"/>
    <w:rsid w:val="0050583D"/>
    <w:rsid w:val="00531C00"/>
    <w:rsid w:val="00542DB8"/>
    <w:rsid w:val="00562BC0"/>
    <w:rsid w:val="00566159"/>
    <w:rsid w:val="00576536"/>
    <w:rsid w:val="00576709"/>
    <w:rsid w:val="0059402D"/>
    <w:rsid w:val="005D5BC6"/>
    <w:rsid w:val="005E66A2"/>
    <w:rsid w:val="00615652"/>
    <w:rsid w:val="00621913"/>
    <w:rsid w:val="00643B42"/>
    <w:rsid w:val="006545CF"/>
    <w:rsid w:val="006700F6"/>
    <w:rsid w:val="0067097C"/>
    <w:rsid w:val="00690597"/>
    <w:rsid w:val="006E2CB9"/>
    <w:rsid w:val="006E7318"/>
    <w:rsid w:val="00721209"/>
    <w:rsid w:val="00732A45"/>
    <w:rsid w:val="00785754"/>
    <w:rsid w:val="007A2099"/>
    <w:rsid w:val="00807EE3"/>
    <w:rsid w:val="00821778"/>
    <w:rsid w:val="008372A3"/>
    <w:rsid w:val="00881C7B"/>
    <w:rsid w:val="008C05D5"/>
    <w:rsid w:val="008D7F40"/>
    <w:rsid w:val="008E6F63"/>
    <w:rsid w:val="00912DDB"/>
    <w:rsid w:val="009153B9"/>
    <w:rsid w:val="00970F34"/>
    <w:rsid w:val="00977D00"/>
    <w:rsid w:val="009B1095"/>
    <w:rsid w:val="009C2357"/>
    <w:rsid w:val="009F6B31"/>
    <w:rsid w:val="00A0724B"/>
    <w:rsid w:val="00A35065"/>
    <w:rsid w:val="00A42787"/>
    <w:rsid w:val="00A62627"/>
    <w:rsid w:val="00A86236"/>
    <w:rsid w:val="00AF474D"/>
    <w:rsid w:val="00B008C8"/>
    <w:rsid w:val="00B21263"/>
    <w:rsid w:val="00B53E2F"/>
    <w:rsid w:val="00B82366"/>
    <w:rsid w:val="00B97D89"/>
    <w:rsid w:val="00BF00B3"/>
    <w:rsid w:val="00BF27D2"/>
    <w:rsid w:val="00BF3587"/>
    <w:rsid w:val="00BF78FE"/>
    <w:rsid w:val="00BF7DD8"/>
    <w:rsid w:val="00C35023"/>
    <w:rsid w:val="00C37151"/>
    <w:rsid w:val="00CC6419"/>
    <w:rsid w:val="00CD3D88"/>
    <w:rsid w:val="00D11C0B"/>
    <w:rsid w:val="00D24DAF"/>
    <w:rsid w:val="00D47D1A"/>
    <w:rsid w:val="00D5471B"/>
    <w:rsid w:val="00D7180F"/>
    <w:rsid w:val="00DA2B79"/>
    <w:rsid w:val="00DB01AC"/>
    <w:rsid w:val="00DB1A6B"/>
    <w:rsid w:val="00DB20D0"/>
    <w:rsid w:val="00E350E8"/>
    <w:rsid w:val="00E621CF"/>
    <w:rsid w:val="00E7126C"/>
    <w:rsid w:val="00E92E7C"/>
    <w:rsid w:val="00E932B2"/>
    <w:rsid w:val="00E936D4"/>
    <w:rsid w:val="00E94AB8"/>
    <w:rsid w:val="00ED3C0A"/>
    <w:rsid w:val="00ED766E"/>
    <w:rsid w:val="00F20C79"/>
    <w:rsid w:val="00F6332B"/>
    <w:rsid w:val="00F64C43"/>
    <w:rsid w:val="00F66CEF"/>
    <w:rsid w:val="00F7272A"/>
    <w:rsid w:val="00F84216"/>
    <w:rsid w:val="00F90805"/>
    <w:rsid w:val="00FA1D48"/>
    <w:rsid w:val="00FA6088"/>
    <w:rsid w:val="00FC330C"/>
    <w:rsid w:val="00FD00D6"/>
    <w:rsid w:val="117E3AF5"/>
    <w:rsid w:val="362D614D"/>
    <w:rsid w:val="6052F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C704"/>
  <w15:chartTrackingRefBased/>
  <w15:docId w15:val="{0AA219C6-9FC5-DE4A-8BA2-3250C551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94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7947"/>
  </w:style>
  <w:style w:type="paragraph" w:styleId="Footer">
    <w:name w:val="footer"/>
    <w:basedOn w:val="Normal"/>
    <w:link w:val="FooterChar"/>
    <w:uiPriority w:val="99"/>
    <w:unhideWhenUsed/>
    <w:rsid w:val="0025794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7947"/>
  </w:style>
  <w:style w:type="table" w:styleId="TableGrid">
    <w:name w:val="Table Grid"/>
    <w:basedOn w:val="TableNormal"/>
    <w:uiPriority w:val="39"/>
    <w:rsid w:val="00257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A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F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27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272A"/>
  </w:style>
  <w:style w:type="paragraph" w:styleId="Caption">
    <w:name w:val="caption"/>
    <w:basedOn w:val="Normal"/>
    <w:next w:val="Normal"/>
    <w:uiPriority w:val="35"/>
    <w:unhideWhenUsed/>
    <w:qFormat/>
    <w:rsid w:val="0006038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18">
    <w:name w:val="Pa18"/>
    <w:basedOn w:val="Normal"/>
    <w:next w:val="Normal"/>
    <w:uiPriority w:val="99"/>
    <w:rsid w:val="00A42787"/>
    <w:pPr>
      <w:autoSpaceDE w:val="0"/>
      <w:autoSpaceDN w:val="0"/>
      <w:adjustRightInd w:val="0"/>
      <w:spacing w:line="161" w:lineRule="atLeast"/>
    </w:pPr>
    <w:rPr>
      <w:rFonts w:ascii="Frutiger LT Std 55 Roman" w:eastAsiaTheme="minorHAnsi" w:hAnsi="Frutiger LT Std 55 Roman" w:cstheme="minorBidi"/>
      <w:lang w:val="en-US"/>
    </w:rPr>
  </w:style>
  <w:style w:type="character" w:customStyle="1" w:styleId="A9">
    <w:name w:val="A9"/>
    <w:uiPriority w:val="99"/>
    <w:rsid w:val="00A42787"/>
    <w:rPr>
      <w:rFonts w:cs="Frutiger LT Std 55 Roman"/>
      <w:color w:val="000000"/>
      <w:sz w:val="14"/>
      <w:szCs w:val="14"/>
    </w:rPr>
  </w:style>
  <w:style w:type="character" w:styleId="Emphasis">
    <w:name w:val="Emphasis"/>
    <w:basedOn w:val="DefaultParagraphFont"/>
    <w:uiPriority w:val="20"/>
    <w:qFormat/>
    <w:rsid w:val="002E77DB"/>
    <w:rPr>
      <w:i/>
      <w:iCs/>
    </w:rPr>
  </w:style>
  <w:style w:type="character" w:customStyle="1" w:styleId="citeddoctitle">
    <w:name w:val="citeddoctitle"/>
    <w:basedOn w:val="DefaultParagraphFont"/>
    <w:rsid w:val="002E77DB"/>
  </w:style>
  <w:style w:type="character" w:customStyle="1" w:styleId="previewtxt">
    <w:name w:val="previewtxt"/>
    <w:basedOn w:val="DefaultParagraphFont"/>
    <w:rsid w:val="002E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nci/dju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Pinder</dc:creator>
  <cp:keywords/>
  <dc:description/>
  <cp:lastModifiedBy>HP</cp:lastModifiedBy>
  <cp:revision>2</cp:revision>
  <dcterms:created xsi:type="dcterms:W3CDTF">2023-01-07T09:21:00Z</dcterms:created>
  <dcterms:modified xsi:type="dcterms:W3CDTF">2023-01-07T09:21:00Z</dcterms:modified>
</cp:coreProperties>
</file>