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EC0A" w14:textId="77777777" w:rsidR="003E59CD" w:rsidRPr="00120FFD" w:rsidRDefault="003E59CD" w:rsidP="003E59CD">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10DE12C7" w14:textId="1CA4558F" w:rsidR="003E59CD" w:rsidRPr="00E9484E" w:rsidRDefault="003E59CD" w:rsidP="003E59CD">
      <w:pPr>
        <w:shd w:val="clear" w:color="auto" w:fill="FFFFFF"/>
        <w:spacing w:after="120" w:line="24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rPr>
        <w:t xml:space="preserve">Ankit Alex </w:t>
      </w:r>
      <w:proofErr w:type="gramStart"/>
      <w:r>
        <w:rPr>
          <w:rFonts w:ascii="Times New Roman" w:eastAsia="Times New Roman" w:hAnsi="Times New Roman" w:cs="Times New Roman"/>
          <w:b/>
          <w:sz w:val="32"/>
          <w:szCs w:val="32"/>
        </w:rPr>
        <w:t>Minz</w:t>
      </w:r>
      <w:r w:rsidR="00E9484E">
        <w:rPr>
          <w:rFonts w:ascii="Times New Roman" w:eastAsia="Times New Roman" w:hAnsi="Times New Roman" w:cs="Times New Roman"/>
          <w:b/>
          <w:sz w:val="32"/>
          <w:szCs w:val="32"/>
          <w:vertAlign w:val="superscript"/>
        </w:rPr>
        <w:t>[</w:t>
      </w:r>
      <w:proofErr w:type="gramEnd"/>
      <w:r w:rsidR="00E9484E">
        <w:rPr>
          <w:rFonts w:ascii="Times New Roman" w:eastAsia="Times New Roman" w:hAnsi="Times New Roman" w:cs="Times New Roman"/>
          <w:b/>
          <w:sz w:val="32"/>
          <w:szCs w:val="32"/>
          <w:vertAlign w:val="superscript"/>
        </w:rPr>
        <w:t>1]</w:t>
      </w:r>
      <w:r>
        <w:rPr>
          <w:rFonts w:ascii="Times New Roman" w:eastAsia="Times New Roman" w:hAnsi="Times New Roman" w:cs="Times New Roman"/>
          <w:b/>
          <w:sz w:val="32"/>
          <w:szCs w:val="32"/>
        </w:rPr>
        <w:t>, Dibya Bharat Khatua</w:t>
      </w:r>
      <w:r w:rsidR="00E9484E">
        <w:rPr>
          <w:rFonts w:ascii="Times New Roman" w:eastAsia="Times New Roman" w:hAnsi="Times New Roman" w:cs="Times New Roman"/>
          <w:b/>
          <w:sz w:val="32"/>
          <w:szCs w:val="32"/>
          <w:vertAlign w:val="superscript"/>
        </w:rPr>
        <w:t>[2]</w:t>
      </w:r>
      <w:r w:rsidR="00E9484E">
        <w:rPr>
          <w:rFonts w:ascii="Times New Roman" w:eastAsia="Times New Roman" w:hAnsi="Times New Roman" w:cs="Times New Roman"/>
          <w:b/>
          <w:sz w:val="32"/>
          <w:szCs w:val="32"/>
        </w:rPr>
        <w:t>, Ruchi Sawhney</w:t>
      </w:r>
      <w:r w:rsidR="00E9484E">
        <w:rPr>
          <w:rFonts w:ascii="Times New Roman" w:eastAsia="Times New Roman" w:hAnsi="Times New Roman" w:cs="Times New Roman"/>
          <w:b/>
          <w:sz w:val="32"/>
          <w:szCs w:val="32"/>
          <w:vertAlign w:val="superscript"/>
        </w:rPr>
        <w:t>[3]</w:t>
      </w:r>
    </w:p>
    <w:p w14:paraId="32831949" w14:textId="7ABB83CD" w:rsidR="003E59CD" w:rsidRDefault="00027298"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 </w:t>
      </w:r>
      <w:r w:rsidR="00E9484E">
        <w:rPr>
          <w:rFonts w:ascii="Times New Roman" w:eastAsia="Times New Roman" w:hAnsi="Times New Roman" w:cs="Times New Roman"/>
        </w:rPr>
        <w:t xml:space="preserve">[1 &amp; 2] </w:t>
      </w:r>
      <w:r w:rsidR="00E9484E" w:rsidRPr="00E9484E">
        <w:rPr>
          <w:rFonts w:ascii="Times New Roman" w:eastAsia="Times New Roman" w:hAnsi="Times New Roman" w:cs="Times New Roman"/>
        </w:rPr>
        <w:t>Scholar, Department of CS/IT, Bosco Technical Training Society, Don Bosco Technical School, Okhla Road, New Delhi-110025</w:t>
      </w:r>
    </w:p>
    <w:p w14:paraId="0001C058" w14:textId="49433C0E" w:rsidR="00E9484E" w:rsidRDefault="00E9484E"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[3] </w:t>
      </w:r>
      <w:r w:rsidRPr="00E9484E">
        <w:rPr>
          <w:rFonts w:ascii="Times New Roman" w:eastAsia="Times New Roman" w:hAnsi="Times New Roman" w:cs="Times New Roman"/>
        </w:rPr>
        <w:t>Assistant Professor, Department of CS/IT, Bosco Technical Training Society, Don Bosco Technical School, Okhla Road, New Delhi-110025</w:t>
      </w: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2533C2C9" w14:textId="596E7281" w:rsidR="006913B9" w:rsidRDefault="007B25A0"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w:t>
      </w:r>
      <w:r w:rsidR="00E9484E" w:rsidRPr="00420C85">
        <w:rPr>
          <w:rFonts w:ascii="Times New Roman" w:hAnsi="Times New Roman" w:cs="Times New Roman"/>
          <w:sz w:val="24"/>
          <w:szCs w:val="24"/>
          <w:lang w:val="en-US"/>
        </w:rPr>
        <w:t>a</w:t>
      </w:r>
      <w:r w:rsidRPr="00420C85">
        <w:rPr>
          <w:rFonts w:ascii="Times New Roman" w:hAnsi="Times New Roman" w:cs="Times New Roman"/>
          <w:sz w:val="24"/>
          <w:szCs w:val="24"/>
          <w:lang w:val="en-US"/>
        </w:rPr>
        <w:t xml:space="preserve"> </w:t>
      </w:r>
      <w:r w:rsidR="00043B69">
        <w:rPr>
          <w:rFonts w:ascii="Times New Roman" w:hAnsi="Times New Roman" w:cs="Times New Roman"/>
          <w:sz w:val="24"/>
          <w:szCs w:val="24"/>
          <w:lang w:val="en-US"/>
        </w:rPr>
        <w:t>statistical and analytical view</w:t>
      </w:r>
      <w:r w:rsidRPr="00420C85">
        <w:rPr>
          <w:rFonts w:ascii="Times New Roman" w:hAnsi="Times New Roman" w:cs="Times New Roman"/>
          <w:sz w:val="24"/>
          <w:szCs w:val="24"/>
          <w:lang w:val="en-US"/>
        </w:rPr>
        <w:t xml:space="preserve"> </w:t>
      </w:r>
      <w:r w:rsidR="00043B69">
        <w:rPr>
          <w:rFonts w:ascii="Times New Roman" w:hAnsi="Times New Roman" w:cs="Times New Roman"/>
          <w:sz w:val="24"/>
          <w:szCs w:val="24"/>
          <w:lang w:val="en-US"/>
        </w:rPr>
        <w:t>using available data about their increasing usage and implementation, the positive impact of various implementations and increasing popularity of commercial AR/VR products</w:t>
      </w:r>
      <w:r w:rsidR="00697692" w:rsidRPr="00420C85">
        <w:rPr>
          <w:rFonts w:ascii="Times New Roman" w:hAnsi="Times New Roman" w:cs="Times New Roman"/>
          <w:sz w:val="24"/>
          <w:szCs w:val="24"/>
          <w:lang w:val="en-US"/>
        </w:rPr>
        <w:t>.</w:t>
      </w:r>
      <w:r w:rsidR="00EB2537">
        <w:rPr>
          <w:rFonts w:ascii="Times New Roman" w:hAnsi="Times New Roman" w:cs="Times New Roman"/>
          <w:sz w:val="24"/>
          <w:szCs w:val="24"/>
          <w:lang w:val="en-US"/>
        </w:rPr>
        <w:t xml:space="preserve"> </w:t>
      </w:r>
      <w:r w:rsidR="00FE2396">
        <w:rPr>
          <w:rFonts w:ascii="Times New Roman" w:hAnsi="Times New Roman" w:cs="Times New Roman"/>
          <w:sz w:val="24"/>
          <w:szCs w:val="24"/>
          <w:lang w:val="en-US"/>
        </w:rPr>
        <w:t>This research helps analyze the current state of AR/VR as well as forecast on the increasing usage of AR/VR.</w:t>
      </w:r>
    </w:p>
    <w:p w14:paraId="3A3F4EDE" w14:textId="77777777" w:rsidR="0093697A" w:rsidRPr="00420C85" w:rsidRDefault="0093697A" w:rsidP="00420C85">
      <w:pPr>
        <w:spacing w:line="360" w:lineRule="auto"/>
        <w:jc w:val="both"/>
        <w:rPr>
          <w:rFonts w:ascii="Times New Roman" w:hAnsi="Times New Roman" w:cs="Times New Roman"/>
          <w:sz w:val="24"/>
          <w:szCs w:val="24"/>
          <w:lang w:val="en-US"/>
        </w:rPr>
      </w:pP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283AD532" w14:textId="3B5FB06C" w:rsidR="00126086" w:rsidRPr="00420C85" w:rsidRDefault="00126086"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77777777" w:rsidR="00420C85" w:rsidRDefault="00420C85" w:rsidP="00420C85">
      <w:pPr>
        <w:spacing w:line="360" w:lineRule="auto"/>
        <w:jc w:val="both"/>
        <w:rPr>
          <w:rFonts w:ascii="Times New Roman" w:eastAsia="Times New Roman" w:hAnsi="Times New Roman" w:cs="Times New Roman"/>
          <w:kern w:val="0"/>
          <w:sz w:val="24"/>
          <w:szCs w:val="24"/>
          <w:lang w:eastAsia="en-IN"/>
          <w14:ligatures w14:val="none"/>
        </w:rPr>
      </w:pPr>
      <w:r w:rsidRPr="00420C85">
        <w:rPr>
          <w:rFonts w:ascii="Times New Roman" w:eastAsia="Times New Roman" w:hAnsi="Times New Roman" w:cs="Times New Roman"/>
          <w:kern w:val="0"/>
          <w:sz w:val="24"/>
          <w:szCs w:val="24"/>
          <w:lang w:eastAsia="en-IN"/>
          <w14:ligatures w14:val="none"/>
        </w:rPr>
        <w:t>Augmented Reality (AR) enriches the real-world environment by overlaying digital information onto it, enhancing various activities such as gaming, product visualization, marketing, architecture, and education. Utilizing human senses like sight, sound, and touch, AR combines computer-generated data with reality via hardware and software. Its versatility extends to metaverse implementations and corporate applications, contributing to the growing trend of immersive computer experiences.</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77777777" w:rsidR="001A50C7" w:rsidRDefault="001A50C7" w:rsidP="00420C85">
      <w:pPr>
        <w:spacing w:line="360" w:lineRule="auto"/>
        <w:jc w:val="both"/>
        <w:rPr>
          <w:rFonts w:ascii="Times New Roman" w:hAnsi="Times New Roman" w:cs="Times New Roman"/>
          <w:sz w:val="24"/>
          <w:szCs w:val="24"/>
        </w:rPr>
      </w:pPr>
      <w:r w:rsidRPr="001A50C7">
        <w:rPr>
          <w:rFonts w:ascii="Times New Roman" w:hAnsi="Times New Roman" w:cs="Times New Roman"/>
          <w:sz w:val="24"/>
          <w:szCs w:val="24"/>
        </w:rPr>
        <w:lastRenderedPageBreak/>
        <w:t>VR involves simulating 3D environments that users can explore and interact with, either replicating reality or creating entirely fictional worlds. It relies on specialized hardware and software, such as helmets and goggles, to immerse users in virtual environments. The goal of VR technology is to create environments indistinguishable from reality, offering users an 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191669F8" w14:textId="5BB0DEF2" w:rsidR="00934CAF" w:rsidRPr="00420C85" w:rsidRDefault="001A50C7" w:rsidP="00420C85">
      <w:pPr>
        <w:spacing w:line="360" w:lineRule="auto"/>
        <w:jc w:val="both"/>
        <w:rPr>
          <w:rFonts w:ascii="Times New Roman" w:hAnsi="Times New Roman" w:cs="Times New Roman"/>
          <w:sz w:val="24"/>
          <w:szCs w:val="24"/>
          <w:lang w:val="en-US"/>
        </w:rPr>
      </w:pPr>
      <w:r w:rsidRPr="001A50C7">
        <w:rPr>
          <w:rFonts w:ascii="Times New Roman" w:hAnsi="Times New Roman" w:cs="Times New Roman"/>
          <w:sz w:val="24"/>
          <w:szCs w:val="24"/>
        </w:rPr>
        <w:t>VR systems have revolutionized training by offering realistic simulations for various real-life activities, promoting cost-effective and safer training methods. AR/VR technology enriches the learning process by placing individuals in diverse scenarios, enhancing experiential learning across domains like healthcare and emergency preparedness. These technologies have been instrumental in providing simulated surgical training and emergency scenario training</w:t>
      </w:r>
      <w:r>
        <w:rPr>
          <w:rFonts w:ascii="Times New Roman" w:hAnsi="Times New Roman" w:cs="Times New Roman"/>
          <w:sz w:val="24"/>
          <w:szCs w:val="24"/>
        </w:rPr>
        <w:t xml:space="preserve">. </w:t>
      </w:r>
      <w:r w:rsidR="00934CAF" w:rsidRPr="00420C85">
        <w:rPr>
          <w:rFonts w:ascii="Times New Roman" w:hAnsi="Times New Roman" w:cs="Times New Roman"/>
          <w:sz w:val="24"/>
          <w:szCs w:val="24"/>
          <w:lang w:val="en-US"/>
        </w:rPr>
        <w:t>Police departments in countries like the Netherlands and the UK employ AR/VR for training to prepare for emergency scenarios.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1CD20606"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 The market size for VR headsets</w:t>
      </w:r>
      <w:r>
        <w:rPr>
          <w:rFonts w:ascii="Times New Roman" w:hAnsi="Times New Roman" w:cs="Times New Roman"/>
          <w:sz w:val="24"/>
          <w:szCs w:val="24"/>
        </w:rPr>
        <w:t xml:space="preserve"> </w:t>
      </w:r>
      <w:r w:rsidRPr="00836363">
        <w:rPr>
          <w:rFonts w:ascii="Times New Roman" w:hAnsi="Times New Roman" w:cs="Times New Roman"/>
          <w:sz w:val="24"/>
          <w:szCs w:val="24"/>
        </w:rPr>
        <w:t>projected to reach $50 billion by 2024</w:t>
      </w:r>
      <w:r>
        <w:rPr>
          <w:rFonts w:ascii="Times New Roman" w:hAnsi="Times New Roman" w:cs="Times New Roman"/>
          <w:sz w:val="24"/>
          <w:szCs w:val="24"/>
        </w:rPr>
        <w:t xml:space="preserve"> and</w:t>
      </w:r>
      <w:r w:rsidRPr="00836363">
        <w:rPr>
          <w:rFonts w:ascii="Times New Roman" w:hAnsi="Times New Roman" w:cs="Times New Roman"/>
          <w:sz w:val="24"/>
          <w:szCs w:val="24"/>
        </w:rPr>
        <w:t xml:space="preserve"> is expected to reach $18.6 billion by 2026, while the AR market is Industries in the creative economy, such as gaming, live events, video entertainment, and retail, are leading the demand for AR/VR technology. Various sectors, including education, healthcare, retail, and real estate, are increasingly employing AR/VR technologies to enhance customer experiences and provide innovative solutions.</w:t>
      </w:r>
    </w:p>
    <w:p w14:paraId="5C467F4A" w14:textId="77777777"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 xml:space="preserve">AR/VR technologies are widely adopted across industries, from gaming and consumer goods to education and healthcare. Popular applications and software include OSSOVR, </w:t>
      </w:r>
      <w:proofErr w:type="spellStart"/>
      <w:r w:rsidRPr="00836363">
        <w:rPr>
          <w:rFonts w:ascii="Times New Roman" w:hAnsi="Times New Roman" w:cs="Times New Roman"/>
          <w:sz w:val="24"/>
          <w:szCs w:val="24"/>
        </w:rPr>
        <w:t>PokemonGo</w:t>
      </w:r>
      <w:proofErr w:type="spellEnd"/>
      <w:r w:rsidRPr="00836363">
        <w:rPr>
          <w:rFonts w:ascii="Times New Roman" w:hAnsi="Times New Roman" w:cs="Times New Roman"/>
          <w:sz w:val="24"/>
          <w:szCs w:val="24"/>
        </w:rPr>
        <w:t xml:space="preserve"> for gaming, Tilt Brush for painting, </w:t>
      </w:r>
      <w:proofErr w:type="spellStart"/>
      <w:r w:rsidRPr="00836363">
        <w:rPr>
          <w:rFonts w:ascii="Times New Roman" w:hAnsi="Times New Roman" w:cs="Times New Roman"/>
          <w:sz w:val="24"/>
          <w:szCs w:val="24"/>
        </w:rPr>
        <w:t>Enscape</w:t>
      </w:r>
      <w:proofErr w:type="spellEnd"/>
      <w:r w:rsidRPr="00836363">
        <w:rPr>
          <w:rFonts w:ascii="Times New Roman" w:hAnsi="Times New Roman" w:cs="Times New Roman"/>
          <w:sz w:val="24"/>
          <w:szCs w:val="24"/>
        </w:rPr>
        <w:t xml:space="preserv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 xml:space="preserve">Toyota’s </w:t>
      </w:r>
      <w:proofErr w:type="spellStart"/>
      <w:r w:rsidR="005C59E6" w:rsidRPr="005C59E6">
        <w:rPr>
          <w:rFonts w:ascii="Times New Roman" w:hAnsi="Times New Roman" w:cs="Times New Roman"/>
          <w:sz w:val="24"/>
          <w:szCs w:val="24"/>
          <w:lang w:val="en-US"/>
        </w:rPr>
        <w:t>TeenDrive</w:t>
      </w:r>
      <w:proofErr w:type="spellEnd"/>
      <w:r w:rsidR="005C59E6" w:rsidRPr="005C59E6">
        <w:rPr>
          <w:rFonts w:ascii="Times New Roman" w:hAnsi="Times New Roman" w:cs="Times New Roman"/>
          <w:sz w:val="24"/>
          <w:szCs w:val="24"/>
          <w:lang w:val="en-US"/>
        </w:rPr>
        <w:t xml:space="preser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lastRenderedPageBreak/>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317ABDAA"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Al-Ansi</w:t>
            </w:r>
            <w:r w:rsidR="0001103D">
              <w:rPr>
                <w:rFonts w:ascii="Times New Roman" w:hAnsi="Times New Roman" w:cs="Times New Roman"/>
                <w:sz w:val="24"/>
                <w:szCs w:val="24"/>
                <w:lang w:val="en-US"/>
              </w:rPr>
              <w:t xml:space="preserve"> et al.</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49CA52C3"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r w:rsidR="0001103D">
              <w:rPr>
                <w:rFonts w:ascii="Times New Roman" w:hAnsi="Times New Roman" w:cs="Times New Roman"/>
                <w:sz w:val="24"/>
                <w:szCs w:val="24"/>
                <w:lang w:val="en-US"/>
              </w:rPr>
              <w:t xml:space="preserve"> et al.</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6FF24BE2"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Patrice </w:t>
            </w:r>
            <w:proofErr w:type="spellStart"/>
            <w:r w:rsidRPr="00420C85">
              <w:rPr>
                <w:rFonts w:ascii="Times New Roman" w:hAnsi="Times New Roman" w:cs="Times New Roman"/>
                <w:sz w:val="24"/>
                <w:szCs w:val="24"/>
                <w:lang w:val="en-US"/>
              </w:rPr>
              <w:t>Labedan</w:t>
            </w:r>
            <w:proofErr w:type="spellEnd"/>
            <w:r w:rsidR="0001103D">
              <w:rPr>
                <w:rFonts w:ascii="Times New Roman" w:hAnsi="Times New Roman" w:cs="Times New Roman"/>
                <w:sz w:val="24"/>
                <w:szCs w:val="24"/>
                <w:lang w:val="en-US"/>
              </w:rPr>
              <w:t xml:space="preserve"> et al.</w:t>
            </w:r>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2D8F8CB7"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r w:rsidR="0001103D">
              <w:rPr>
                <w:rFonts w:ascii="Times New Roman" w:hAnsi="Times New Roman" w:cs="Times New Roman"/>
                <w:sz w:val="24"/>
                <w:szCs w:val="24"/>
                <w:lang w:val="en-US"/>
              </w:rPr>
              <w:t xml:space="preserve"> et al.</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77C5F86E"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r w:rsidR="0001103D">
              <w:rPr>
                <w:rFonts w:ascii="Times New Roman" w:hAnsi="Times New Roman" w:cs="Times New Roman"/>
                <w:sz w:val="24"/>
                <w:szCs w:val="24"/>
                <w:lang w:val="en-US"/>
              </w:rPr>
              <w:t xml:space="preserve"> et al.</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07381FB6"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İbrahim Yaşar Kazu</w:t>
            </w:r>
            <w:r w:rsidR="0001103D">
              <w:rPr>
                <w:rFonts w:ascii="Times New Roman" w:hAnsi="Times New Roman" w:cs="Times New Roman"/>
                <w:sz w:val="24"/>
                <w:szCs w:val="24"/>
                <w:lang w:val="en-US"/>
              </w:rPr>
              <w:t xml:space="preserve"> et al</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60563842"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r w:rsidR="0001103D">
              <w:rPr>
                <w:rFonts w:ascii="Times New Roman" w:hAnsi="Times New Roman" w:cs="Times New Roman"/>
                <w:sz w:val="24"/>
                <w:szCs w:val="24"/>
                <w:lang w:val="en-US"/>
              </w:rPr>
              <w:t xml:space="preserve"> et al.</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420C85" w:rsidRDefault="00000000" w:rsidP="00AD4F7C">
            <w:pPr>
              <w:keepNext/>
              <w:jc w:val="both"/>
              <w:rPr>
                <w:rFonts w:ascii="Times New Roman" w:hAnsi="Times New Roman" w:cs="Times New Roman"/>
                <w:sz w:val="24"/>
                <w:szCs w:val="24"/>
                <w:lang w:val="en-US"/>
              </w:rPr>
            </w:pPr>
            <w:hyperlink r:id="rId6" w:tgtFrame="_blank" w:history="1">
              <w:r w:rsidR="00BC2009" w:rsidRPr="00420C85">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420C85">
              <w:rPr>
                <w:rFonts w:ascii="Times New Roman" w:hAnsi="Times New Roman" w:cs="Times New Roman"/>
                <w:sz w:val="24"/>
                <w:szCs w:val="24"/>
                <w:lang w:val="en-US"/>
              </w:rPr>
              <w:t xml:space="preserve"> increased globally</w:t>
            </w:r>
          </w:p>
        </w:tc>
      </w:tr>
    </w:tbl>
    <w:p w14:paraId="5F84B0C8" w14:textId="0AFAC4B1" w:rsidR="00BC2009" w:rsidRPr="00420C85" w:rsidRDefault="00AD4F7C" w:rsidP="00AD4F7C">
      <w:pPr>
        <w:pStyle w:val="Caption"/>
        <w:rPr>
          <w:rFonts w:ascii="Times New Roman" w:hAnsi="Times New Roman" w:cs="Times New Roman"/>
          <w:sz w:val="24"/>
          <w:szCs w:val="24"/>
          <w:lang w:val="en-US"/>
        </w:rPr>
      </w:pPr>
      <w:r>
        <w:t xml:space="preserve">                                                                               </w:t>
      </w:r>
      <w:r w:rsidR="002B59D7">
        <w:t>Table 1:</w:t>
      </w:r>
      <w:r>
        <w:t xml:space="preserve"> References for related works</w:t>
      </w:r>
    </w:p>
    <w:p w14:paraId="77A8ABA5" w14:textId="3804B069"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 xml:space="preserve">Al </w:t>
      </w:r>
      <w:proofErr w:type="gramStart"/>
      <w:r w:rsidRPr="00420C85">
        <w:rPr>
          <w:rFonts w:ascii="Times New Roman" w:hAnsi="Times New Roman" w:cs="Times New Roman"/>
          <w:b/>
          <w:bCs/>
          <w:sz w:val="24"/>
          <w:szCs w:val="24"/>
        </w:rPr>
        <w:t>Ansi</w:t>
      </w:r>
      <w:r w:rsidR="00416BB6">
        <w:rPr>
          <w:rFonts w:ascii="Times New Roman" w:hAnsi="Times New Roman" w:cs="Times New Roman"/>
          <w:b/>
          <w:bCs/>
          <w:sz w:val="24"/>
          <w:szCs w:val="24"/>
        </w:rPr>
        <w:t>(</w:t>
      </w:r>
      <w:proofErr w:type="gramEnd"/>
      <w:r w:rsidR="00416BB6">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F45710" w:rsidRPr="00420C85">
        <w:rPr>
          <w:rFonts w:ascii="Times New Roman" w:hAnsi="Times New Roman" w:cs="Times New Roman"/>
          <w:sz w:val="24"/>
          <w:szCs w:val="24"/>
        </w:rPr>
        <w:t>.</w:t>
      </w:r>
      <w:r w:rsidR="00416BB6">
        <w:rPr>
          <w:rFonts w:ascii="Times New Roman" w:hAnsi="Times New Roman" w:cs="Times New Roman"/>
          <w:sz w:val="24"/>
          <w:szCs w:val="24"/>
        </w:rPr>
        <w:t>[1]</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A Udaya Shankar</w:t>
      </w:r>
      <w:r w:rsidRPr="00420C85">
        <w:rPr>
          <w:rFonts w:ascii="Times New Roman" w:hAnsi="Times New Roman" w:cs="Times New Roman"/>
          <w:b/>
          <w:bCs/>
          <w:sz w:val="24"/>
          <w:szCs w:val="24"/>
        </w:rPr>
        <w:t xml:space="preserve"> et al.</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BC2009" w:rsidRPr="00420C85">
        <w:rPr>
          <w:rFonts w:ascii="Times New Roman" w:hAnsi="Times New Roman" w:cs="Times New Roman"/>
          <w:sz w:val="24"/>
          <w:szCs w:val="24"/>
        </w:rPr>
        <w:t>.</w:t>
      </w:r>
      <w:r w:rsidR="00416BB6">
        <w:rPr>
          <w:rFonts w:ascii="Times New Roman" w:hAnsi="Times New Roman" w:cs="Times New Roman"/>
          <w:sz w:val="24"/>
          <w:szCs w:val="24"/>
        </w:rPr>
        <w:t>[2]</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proofErr w:type="gramStart"/>
      <w:r w:rsidRPr="00420C85">
        <w:rPr>
          <w:rFonts w:ascii="Times New Roman" w:hAnsi="Times New Roman" w:cs="Times New Roman"/>
          <w:b/>
          <w:bCs/>
          <w:sz w:val="24"/>
          <w:szCs w:val="24"/>
        </w:rPr>
        <w:t>et al.</w:t>
      </w:r>
      <w:r w:rsidR="0025436E">
        <w:rPr>
          <w:rFonts w:ascii="Times New Roman" w:hAnsi="Times New Roman" w:cs="Times New Roman"/>
          <w:b/>
          <w:bCs/>
          <w:sz w:val="24"/>
          <w:szCs w:val="24"/>
          <w:vertAlign w:val="superscript"/>
        </w:rPr>
        <w:t>[</w:t>
      </w:r>
      <w:proofErr w:type="gramEnd"/>
      <w:r w:rsidR="0025436E">
        <w:rPr>
          <w:rFonts w:ascii="Times New Roman" w:hAnsi="Times New Roman" w:cs="Times New Roman"/>
          <w:b/>
          <w:bCs/>
          <w:sz w:val="24"/>
          <w:szCs w:val="24"/>
          <w:vertAlign w:val="superscript"/>
        </w:rPr>
        <w:t>3]</w:t>
      </w:r>
      <w:r w:rsidRPr="00420C85">
        <w:rPr>
          <w:rFonts w:ascii="Times New Roman" w:hAnsi="Times New Roman" w:cs="Times New Roman"/>
          <w:sz w:val="24"/>
          <w:szCs w:val="24"/>
        </w:rPr>
        <w:t> </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Zain </w:t>
      </w:r>
      <w:proofErr w:type="gramStart"/>
      <w:r w:rsidRPr="00420C85">
        <w:rPr>
          <w:rFonts w:ascii="Times New Roman" w:hAnsi="Times New Roman" w:cs="Times New Roman"/>
          <w:b/>
          <w:bCs/>
          <w:sz w:val="24"/>
          <w:szCs w:val="24"/>
        </w:rPr>
        <w:t>et al.</w:t>
      </w:r>
      <w:r w:rsidR="0025436E">
        <w:rPr>
          <w:rFonts w:ascii="Times New Roman" w:hAnsi="Times New Roman" w:cs="Times New Roman"/>
          <w:b/>
          <w:bCs/>
          <w:sz w:val="24"/>
          <w:szCs w:val="24"/>
          <w:vertAlign w:val="superscript"/>
        </w:rPr>
        <w:t>[</w:t>
      </w:r>
      <w:proofErr w:type="gramEnd"/>
      <w:r w:rsidR="0025436E">
        <w:rPr>
          <w:rFonts w:ascii="Times New Roman" w:hAnsi="Times New Roman" w:cs="Times New Roman"/>
          <w:b/>
          <w:bCs/>
          <w:sz w:val="24"/>
          <w:szCs w:val="24"/>
          <w:vertAlign w:val="superscript"/>
        </w:rPr>
        <w:t>4]</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 xml:space="preserve">used randomized trials to studying the effectiveness of AR/VR in improving knowledge and skill </w:t>
      </w:r>
      <w:r w:rsidR="00820B15" w:rsidRPr="00420C85">
        <w:rPr>
          <w:rFonts w:ascii="Times New Roman" w:hAnsi="Times New Roman" w:cs="Times New Roman"/>
          <w:sz w:val="24"/>
          <w:szCs w:val="24"/>
        </w:rPr>
        <w:lastRenderedPageBreak/>
        <w:t>gain for medical students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Min-Chai</w:t>
      </w:r>
      <w:r w:rsidR="00EE6CC6" w:rsidRPr="00420C85">
        <w:rPr>
          <w:rFonts w:ascii="Times New Roman" w:hAnsi="Times New Roman" w:cs="Times New Roman"/>
          <w:b/>
          <w:bCs/>
          <w:sz w:val="24"/>
          <w:szCs w:val="24"/>
        </w:rPr>
        <w:t xml:space="preserve"> </w:t>
      </w:r>
      <w:proofErr w:type="gramStart"/>
      <w:r w:rsidR="00EE6CC6" w:rsidRPr="00420C85">
        <w:rPr>
          <w:rFonts w:ascii="Times New Roman" w:hAnsi="Times New Roman" w:cs="Times New Roman"/>
          <w:b/>
          <w:bCs/>
          <w:sz w:val="24"/>
          <w:szCs w:val="24"/>
        </w:rPr>
        <w:t>et al.</w:t>
      </w:r>
      <w:r w:rsidR="0025436E">
        <w:rPr>
          <w:rFonts w:ascii="Times New Roman" w:hAnsi="Times New Roman" w:cs="Times New Roman"/>
          <w:b/>
          <w:bCs/>
          <w:sz w:val="24"/>
          <w:szCs w:val="24"/>
          <w:vertAlign w:val="superscript"/>
        </w:rPr>
        <w:t>[</w:t>
      </w:r>
      <w:proofErr w:type="gramEnd"/>
      <w:r w:rsidR="0025436E">
        <w:rPr>
          <w:rFonts w:ascii="Times New Roman" w:hAnsi="Times New Roman" w:cs="Times New Roman"/>
          <w:b/>
          <w:bCs/>
          <w:sz w:val="24"/>
          <w:szCs w:val="24"/>
          <w:vertAlign w:val="superscript"/>
        </w:rPr>
        <w:t>5]</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applied ADDIE model to study the effect of AR in marine wildlife education, finding improvement in learning experiences for children</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İbrahim </w:t>
      </w:r>
      <w:proofErr w:type="gramStart"/>
      <w:r w:rsidR="00EE6CC6" w:rsidRPr="00420C85">
        <w:rPr>
          <w:rFonts w:ascii="Times New Roman" w:hAnsi="Times New Roman" w:cs="Times New Roman"/>
          <w:b/>
          <w:bCs/>
          <w:sz w:val="24"/>
          <w:szCs w:val="24"/>
        </w:rPr>
        <w:t>et al.</w:t>
      </w:r>
      <w:r w:rsidR="0025436E">
        <w:rPr>
          <w:rFonts w:ascii="Times New Roman" w:hAnsi="Times New Roman" w:cs="Times New Roman"/>
          <w:b/>
          <w:bCs/>
          <w:sz w:val="24"/>
          <w:szCs w:val="24"/>
          <w:vertAlign w:val="superscript"/>
        </w:rPr>
        <w:t>[</w:t>
      </w:r>
      <w:proofErr w:type="gramEnd"/>
      <w:r w:rsidR="0025436E">
        <w:rPr>
          <w:rFonts w:ascii="Times New Roman" w:hAnsi="Times New Roman" w:cs="Times New Roman"/>
          <w:b/>
          <w:bCs/>
          <w:sz w:val="24"/>
          <w:szCs w:val="24"/>
          <w:vertAlign w:val="superscript"/>
        </w:rPr>
        <w:t>6]</w:t>
      </w:r>
      <w:r w:rsidR="00BC2009" w:rsidRPr="00420C85">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 Lastly, </w:t>
      </w:r>
      <w:r w:rsidR="00BC2009" w:rsidRPr="00420C85">
        <w:rPr>
          <w:rFonts w:ascii="Times New Roman" w:hAnsi="Times New Roman" w:cs="Times New Roman"/>
          <w:b/>
          <w:bCs/>
          <w:sz w:val="24"/>
          <w:szCs w:val="24"/>
        </w:rPr>
        <w:t xml:space="preserve">Jing </w:t>
      </w:r>
      <w:proofErr w:type="gramStart"/>
      <w:r w:rsidR="00EE6CC6" w:rsidRPr="00420C85">
        <w:rPr>
          <w:rFonts w:ascii="Times New Roman" w:hAnsi="Times New Roman" w:cs="Times New Roman"/>
          <w:b/>
          <w:bCs/>
          <w:sz w:val="24"/>
          <w:szCs w:val="24"/>
        </w:rPr>
        <w:t>et al.</w:t>
      </w:r>
      <w:r w:rsidR="0025436E">
        <w:rPr>
          <w:rFonts w:ascii="Times New Roman" w:hAnsi="Times New Roman" w:cs="Times New Roman"/>
          <w:b/>
          <w:bCs/>
          <w:sz w:val="24"/>
          <w:szCs w:val="24"/>
          <w:vertAlign w:val="superscript"/>
        </w:rPr>
        <w:t>[</w:t>
      </w:r>
      <w:proofErr w:type="gramEnd"/>
      <w:r w:rsidR="0025436E">
        <w:rPr>
          <w:rFonts w:ascii="Times New Roman" w:hAnsi="Times New Roman" w:cs="Times New Roman"/>
          <w:b/>
          <w:bCs/>
          <w:sz w:val="24"/>
          <w:szCs w:val="24"/>
          <w:vertAlign w:val="superscript"/>
        </w:rPr>
        <w:t>7]</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10C3DA08" w14:textId="79E1BDC0"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p w14:paraId="7D76AFF7" w14:textId="77777777" w:rsidR="001C5C13" w:rsidRPr="00420C85" w:rsidRDefault="00120FFD"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lastRenderedPageBreak/>
        <w:drawing>
          <wp:inline distT="0" distB="0" distL="0" distR="0" wp14:anchorId="7A81D4D5" wp14:editId="54C697E4">
            <wp:extent cx="5715000" cy="3430520"/>
            <wp:effectExtent l="0" t="0" r="0" b="0"/>
            <wp:docPr id="80732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28514" name=""/>
                    <pic:cNvPicPr/>
                  </pic:nvPicPr>
                  <pic:blipFill>
                    <a:blip r:embed="rId7"/>
                    <a:stretch>
                      <a:fillRect/>
                    </a:stretch>
                  </pic:blipFill>
                  <pic:spPr>
                    <a:xfrm>
                      <a:off x="0" y="0"/>
                      <a:ext cx="5937514" cy="3564088"/>
                    </a:xfrm>
                    <a:prstGeom prst="rect">
                      <a:avLst/>
                    </a:prstGeom>
                  </pic:spPr>
                </pic:pic>
              </a:graphicData>
            </a:graphic>
          </wp:inline>
        </w:drawing>
      </w:r>
    </w:p>
    <w:p w14:paraId="09FD239E" w14:textId="7A8EB900" w:rsidR="00120FFD" w:rsidRPr="00AD4F7C" w:rsidRDefault="001C5C13" w:rsidP="00420C85">
      <w:pPr>
        <w:pStyle w:val="Caption"/>
        <w:jc w:val="both"/>
        <w:rPr>
          <w:rFonts w:ascii="Times New Roman" w:hAnsi="Times New Roman" w:cs="Times New Roman"/>
          <w:b/>
          <w:bCs/>
          <w:lang w:val="en-US"/>
        </w:rPr>
      </w:pPr>
      <w:r w:rsidRPr="00420C85">
        <w:rPr>
          <w:rFonts w:ascii="Times New Roman" w:hAnsi="Times New Roman" w:cs="Times New Roman"/>
          <w:sz w:val="24"/>
          <w:szCs w:val="24"/>
        </w:rPr>
        <w:t xml:space="preserve">                                  </w:t>
      </w:r>
      <w:r w:rsidR="002B59D7">
        <w:rPr>
          <w:rFonts w:ascii="Times New Roman" w:hAnsi="Times New Roman" w:cs="Times New Roman"/>
          <w:sz w:val="24"/>
          <w:szCs w:val="24"/>
        </w:rPr>
        <w:t>Table 2:</w:t>
      </w:r>
      <w:r w:rsidRPr="00420C85">
        <w:rPr>
          <w:rFonts w:ascii="Times New Roman" w:hAnsi="Times New Roman" w:cs="Times New Roman"/>
          <w:sz w:val="24"/>
          <w:szCs w:val="24"/>
        </w:rPr>
        <w:t xml:space="preserve"> </w:t>
      </w:r>
      <w:r w:rsidRPr="00AD4F7C">
        <w:rPr>
          <w:rFonts w:ascii="Times New Roman" w:hAnsi="Times New Roman" w:cs="Times New Roman"/>
        </w:rPr>
        <w:t>Various stats regarding AR/VR in different fields</w:t>
      </w:r>
    </w:p>
    <w:p w14:paraId="1B9C2914" w14:textId="77777777"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B18261" w14:textId="4877B363"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Pr="00AD4F7C">
        <w:rPr>
          <w:rFonts w:ascii="Times New Roman" w:hAnsi="Times New Roman" w:cs="Times New Roman"/>
        </w:rPr>
        <w:t>Graph 1: Top 5 countries in terms of AR/VR penetration</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77777777"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C0C15A" w14:textId="20314FD5"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00AD4F7C">
        <w:rPr>
          <w:rFonts w:ascii="Times New Roman" w:hAnsi="Times New Roman" w:cs="Times New Roman"/>
          <w:sz w:val="24"/>
          <w:szCs w:val="24"/>
        </w:rPr>
        <w:t xml:space="preserve">        </w:t>
      </w:r>
      <w:r w:rsidRPr="00AD4F7C">
        <w:rPr>
          <w:rFonts w:ascii="Times New Roman" w:hAnsi="Times New Roman" w:cs="Times New Roman"/>
        </w:rPr>
        <w:t>Graph 2: Top 5 countries in terms of AR/VR revenue</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5FE31B8B" w:rsidR="00820B15" w:rsidRPr="00420C85" w:rsidRDefault="003045AC"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2D84CC84" wp14:editId="58B4075F">
            <wp:extent cx="4210050" cy="25146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910E07" w14:textId="75C8A8C4" w:rsidR="00F05F8A" w:rsidRPr="00AD4F7C" w:rsidRDefault="0023412B" w:rsidP="00420C85">
      <w:pPr>
        <w:pStyle w:val="Caption"/>
        <w:jc w:val="both"/>
        <w:rPr>
          <w:rFonts w:ascii="Times New Roman" w:hAnsi="Times New Roman" w:cs="Times New Roman"/>
          <w:sz w:val="20"/>
          <w:szCs w:val="20"/>
          <w:lang w:val="en-US"/>
        </w:rPr>
      </w:pPr>
      <w:r w:rsidRPr="00420C85">
        <w:rPr>
          <w:rFonts w:ascii="Times New Roman" w:hAnsi="Times New Roman" w:cs="Times New Roman"/>
          <w:sz w:val="24"/>
          <w:szCs w:val="24"/>
        </w:rPr>
        <w:t xml:space="preserve">                             </w:t>
      </w:r>
      <w:r w:rsidR="00820B15" w:rsidRPr="00AD4F7C">
        <w:rPr>
          <w:rFonts w:ascii="Times New Roman" w:hAnsi="Times New Roman" w:cs="Times New Roman"/>
        </w:rPr>
        <w:t xml:space="preserve">Graph 3: </w:t>
      </w:r>
      <w:r w:rsidRPr="00AD4F7C">
        <w:rPr>
          <w:rFonts w:ascii="Times New Roman" w:hAnsi="Times New Roman" w:cs="Times New Roman"/>
        </w:rPr>
        <w:t>Market Size of AR/VR</w:t>
      </w:r>
    </w:p>
    <w:p w14:paraId="537FF532" w14:textId="76C71C39" w:rsidR="003045AC" w:rsidRPr="00420C85" w:rsidRDefault="001C5C13"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various graphs 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3A59CE2D"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AR and VR technologies are continuously reshaping multiple sectors, like education, healthcare, gaming, automotive, engineering, military, manufacturing and entertainment. Throughout all fields it can be said that </w:t>
      </w:r>
      <w:proofErr w:type="spellStart"/>
      <w:r w:rsidRPr="00420C85">
        <w:rPr>
          <w:rFonts w:ascii="Times New Roman" w:hAnsi="Times New Roman" w:cs="Times New Roman"/>
          <w:sz w:val="24"/>
          <w:szCs w:val="24"/>
        </w:rPr>
        <w:t>immersiveness</w:t>
      </w:r>
      <w:proofErr w:type="spellEnd"/>
      <w:r w:rsidRPr="00420C85">
        <w:rPr>
          <w:rFonts w:ascii="Times New Roman" w:hAnsi="Times New Roman" w:cs="Times New Roman"/>
          <w:sz w:val="24"/>
          <w:szCs w:val="24"/>
        </w:rPr>
        <w:t xml:space="preserve"> is the common attraction, as the AR/VR technologies allow the simulation of various things with good accuracy, allowing people to gain experience without experiencing those situations in reality. In learning and </w:t>
      </w:r>
      <w:r w:rsidRPr="00420C85">
        <w:rPr>
          <w:rFonts w:ascii="Times New Roman" w:hAnsi="Times New Roman" w:cs="Times New Roman"/>
          <w:sz w:val="24"/>
          <w:szCs w:val="24"/>
        </w:rPr>
        <w:lastRenderedPageBreak/>
        <w:t>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AD4F7C">
            <w:pPr>
              <w:keepNext/>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40CD44FE" w14:textId="05C72351" w:rsidR="005C59E6" w:rsidRPr="00416BB6" w:rsidRDefault="00AD4F7C" w:rsidP="00416BB6">
      <w:pPr>
        <w:pStyle w:val="Caption"/>
        <w:rPr>
          <w:rFonts w:ascii="Times New Roman" w:hAnsi="Times New Roman" w:cs="Times New Roman"/>
          <w:b/>
          <w:bCs/>
          <w:sz w:val="24"/>
          <w:szCs w:val="24"/>
        </w:rPr>
      </w:pPr>
      <w:r>
        <w:t xml:space="preserve">                                                                       </w:t>
      </w:r>
      <w:r w:rsidR="002B59D7">
        <w:t xml:space="preserve">Table 3: </w:t>
      </w:r>
      <w:r>
        <w:t>Benefits and uses of AR/VR in various fields</w:t>
      </w:r>
    </w:p>
    <w:p w14:paraId="26AC5203" w14:textId="535D63DF"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Spatial computing integrates virtual content seamlessly into the physical world, enhancing user immersion and interaction in AR/VR applications. This technology enables accurate mapping and overlay of virtual content onto the user's environment, boosting intuitiveness and opening up possibilities for improved productivity, visualization, gaming, and education.</w:t>
      </w:r>
    </w:p>
    <w:p w14:paraId="3C9F7A49" w14:textId="7E91490C" w:rsidR="00D66679"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Immersive Commerce Platforms leverage AR/VR to revolutionize online shopping by offering realistic product previews, virtual try-ons, and interactive visualizations, enhancing the shopping experience and increasing customer engagement and conversion rates.</w:t>
      </w:r>
    </w:p>
    <w:p w14:paraId="4C832298" w14:textId="77777777"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Emotion recognition in VR utilizes biometric sensors and machine learning algorithms to analyze users' expressions and gestures, enhancing emotional engagement and personalization in virtual experiences. This technology dynamically adjusts content based on users' emotional states, improving communication, therapy, and training applications. </w:t>
      </w:r>
    </w:p>
    <w:p w14:paraId="00F94B82" w14:textId="77777777"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Haptic feedback technologies simulate tactile sensations in AR/VR environments, allowing users to feel and interact with virtual objects realistically, enhancing simulations, gaming experiences, and medical applications. </w:t>
      </w:r>
    </w:p>
    <w:p w14:paraId="3E52FB2E" w14:textId="1DDC9C18" w:rsidR="009539CC" w:rsidRPr="005C59E6"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Six Degrees of Freedom Tracking enables users to move freely in physical space while accurately tracking their movements in six dimensions, enhancing immersion, comfort, and reducing motion sickness in VR experiences.</w:t>
      </w:r>
    </w:p>
    <w:p w14:paraId="7268C5FA" w14:textId="775EA887"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070E0E9F"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p>
    <w:tbl>
      <w:tblPr>
        <w:tblStyle w:val="TableGrid"/>
        <w:tblW w:w="9747" w:type="dxa"/>
        <w:tblLayout w:type="fixed"/>
        <w:tblLook w:val="04A0" w:firstRow="1" w:lastRow="0" w:firstColumn="1" w:lastColumn="0" w:noHBand="0" w:noVBand="1"/>
      </w:tblPr>
      <w:tblGrid>
        <w:gridCol w:w="1384"/>
        <w:gridCol w:w="1559"/>
        <w:gridCol w:w="1985"/>
        <w:gridCol w:w="1701"/>
        <w:gridCol w:w="1701"/>
        <w:gridCol w:w="1417"/>
      </w:tblGrid>
      <w:tr w:rsidR="005C59E6" w:rsidRPr="00420C85" w14:paraId="3CAB3E1D" w14:textId="77777777" w:rsidTr="007D1144">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559" w:type="dxa"/>
          </w:tcPr>
          <w:p w14:paraId="13B616FC"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ARkit</w:t>
            </w:r>
          </w:p>
        </w:tc>
        <w:tc>
          <w:tcPr>
            <w:tcW w:w="1985" w:type="dxa"/>
          </w:tcPr>
          <w:p w14:paraId="4B9C6D0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Google </w:t>
            </w:r>
            <w:proofErr w:type="spellStart"/>
            <w:r w:rsidRPr="00420C85">
              <w:rPr>
                <w:rFonts w:ascii="Times New Roman" w:hAnsi="Times New Roman" w:cs="Times New Roman"/>
                <w:sz w:val="24"/>
                <w:szCs w:val="24"/>
              </w:rPr>
              <w:t>ARcore</w:t>
            </w:r>
            <w:proofErr w:type="spellEnd"/>
          </w:p>
        </w:tc>
        <w:tc>
          <w:tcPr>
            <w:tcW w:w="1701" w:type="dxa"/>
          </w:tcPr>
          <w:p w14:paraId="4B0EA6B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quest</w:t>
            </w:r>
          </w:p>
        </w:tc>
        <w:tc>
          <w:tcPr>
            <w:tcW w:w="1701" w:type="dxa"/>
          </w:tcPr>
          <w:p w14:paraId="0C1D9A4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HTC </w:t>
            </w:r>
            <w:proofErr w:type="spellStart"/>
            <w:r w:rsidRPr="00420C85">
              <w:rPr>
                <w:rFonts w:ascii="Times New Roman" w:hAnsi="Times New Roman" w:cs="Times New Roman"/>
                <w:sz w:val="24"/>
                <w:szCs w:val="24"/>
              </w:rPr>
              <w:t>Vive</w:t>
            </w:r>
            <w:proofErr w:type="spellEnd"/>
          </w:p>
        </w:tc>
        <w:tc>
          <w:tcPr>
            <w:tcW w:w="1417" w:type="dxa"/>
          </w:tcPr>
          <w:p w14:paraId="66B4AF0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Sony </w:t>
            </w:r>
            <w:proofErr w:type="spellStart"/>
            <w:r w:rsidRPr="00420C85">
              <w:rPr>
                <w:rFonts w:ascii="Times New Roman" w:hAnsi="Times New Roman" w:cs="Times New Roman"/>
                <w:sz w:val="24"/>
                <w:szCs w:val="24"/>
              </w:rPr>
              <w:t>Playstation</w:t>
            </w:r>
            <w:proofErr w:type="spellEnd"/>
          </w:p>
        </w:tc>
      </w:tr>
      <w:tr w:rsidR="005C59E6" w:rsidRPr="00420C85" w14:paraId="34071245" w14:textId="77777777" w:rsidTr="007D1144">
        <w:trPr>
          <w:trHeight w:val="636"/>
        </w:trPr>
        <w:tc>
          <w:tcPr>
            <w:tcW w:w="1384" w:type="dxa"/>
          </w:tcPr>
          <w:p w14:paraId="107ABC9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Launched date</w:t>
            </w:r>
          </w:p>
        </w:tc>
        <w:tc>
          <w:tcPr>
            <w:tcW w:w="1559" w:type="dxa"/>
          </w:tcPr>
          <w:p w14:paraId="4FA1054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985" w:type="dxa"/>
          </w:tcPr>
          <w:p w14:paraId="6F555A2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701" w:type="dxa"/>
          </w:tcPr>
          <w:p w14:paraId="23E291B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417" w:type="dxa"/>
          </w:tcPr>
          <w:p w14:paraId="45FDC8A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7D1144">
        <w:trPr>
          <w:trHeight w:val="636"/>
        </w:trPr>
        <w:tc>
          <w:tcPr>
            <w:tcW w:w="1384" w:type="dxa"/>
          </w:tcPr>
          <w:p w14:paraId="0E54C0F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Developed by</w:t>
            </w:r>
          </w:p>
        </w:tc>
        <w:tc>
          <w:tcPr>
            <w:tcW w:w="1559" w:type="dxa"/>
          </w:tcPr>
          <w:p w14:paraId="647BFD7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Inc.</w:t>
            </w:r>
          </w:p>
        </w:tc>
        <w:tc>
          <w:tcPr>
            <w:tcW w:w="1985" w:type="dxa"/>
          </w:tcPr>
          <w:p w14:paraId="03B8162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701" w:type="dxa"/>
          </w:tcPr>
          <w:p w14:paraId="149862FF"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417" w:type="dxa"/>
          </w:tcPr>
          <w:p w14:paraId="351A893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7D1144">
        <w:trPr>
          <w:trHeight w:val="636"/>
        </w:trPr>
        <w:tc>
          <w:tcPr>
            <w:tcW w:w="1384" w:type="dxa"/>
          </w:tcPr>
          <w:p w14:paraId="0886D136"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Based on</w:t>
            </w:r>
          </w:p>
        </w:tc>
        <w:tc>
          <w:tcPr>
            <w:tcW w:w="1559" w:type="dxa"/>
          </w:tcPr>
          <w:p w14:paraId="3714C5F5"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AR(</w:t>
            </w:r>
            <w:proofErr w:type="gramEnd"/>
            <w:r w:rsidRPr="00420C85">
              <w:rPr>
                <w:rFonts w:ascii="Times New Roman" w:hAnsi="Times New Roman" w:cs="Times New Roman"/>
                <w:sz w:val="24"/>
                <w:szCs w:val="24"/>
              </w:rPr>
              <w:t>augmented reality)</w:t>
            </w:r>
          </w:p>
        </w:tc>
        <w:tc>
          <w:tcPr>
            <w:tcW w:w="1985" w:type="dxa"/>
          </w:tcPr>
          <w:p w14:paraId="32FB0A77"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AR(</w:t>
            </w:r>
            <w:proofErr w:type="gramEnd"/>
            <w:r w:rsidRPr="00420C85">
              <w:rPr>
                <w:rFonts w:ascii="Times New Roman" w:hAnsi="Times New Roman" w:cs="Times New Roman"/>
                <w:sz w:val="24"/>
                <w:szCs w:val="24"/>
              </w:rPr>
              <w:t>augmented reality)</w:t>
            </w:r>
          </w:p>
        </w:tc>
        <w:tc>
          <w:tcPr>
            <w:tcW w:w="1701" w:type="dxa"/>
          </w:tcPr>
          <w:p w14:paraId="63CD557D"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VR( Virtual</w:t>
            </w:r>
            <w:proofErr w:type="gramEnd"/>
            <w:r w:rsidRPr="00420C85">
              <w:rPr>
                <w:rFonts w:ascii="Times New Roman" w:hAnsi="Times New Roman" w:cs="Times New Roman"/>
                <w:sz w:val="24"/>
                <w:szCs w:val="24"/>
              </w:rPr>
              <w:t xml:space="preserve"> Reality)</w:t>
            </w:r>
          </w:p>
        </w:tc>
        <w:tc>
          <w:tcPr>
            <w:tcW w:w="1701" w:type="dxa"/>
          </w:tcPr>
          <w:p w14:paraId="57558994"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VR( Virtual</w:t>
            </w:r>
            <w:proofErr w:type="gramEnd"/>
            <w:r w:rsidRPr="00420C85">
              <w:rPr>
                <w:rFonts w:ascii="Times New Roman" w:hAnsi="Times New Roman" w:cs="Times New Roman"/>
                <w:sz w:val="24"/>
                <w:szCs w:val="24"/>
              </w:rPr>
              <w:t xml:space="preserve"> Reality)</w:t>
            </w:r>
          </w:p>
        </w:tc>
        <w:tc>
          <w:tcPr>
            <w:tcW w:w="1417" w:type="dxa"/>
          </w:tcPr>
          <w:p w14:paraId="078BE58F"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VR( Virtual</w:t>
            </w:r>
            <w:proofErr w:type="gramEnd"/>
            <w:r w:rsidRPr="00420C85">
              <w:rPr>
                <w:rFonts w:ascii="Times New Roman" w:hAnsi="Times New Roman" w:cs="Times New Roman"/>
                <w:sz w:val="24"/>
                <w:szCs w:val="24"/>
              </w:rPr>
              <w:t xml:space="preserve"> Reality)</w:t>
            </w:r>
          </w:p>
        </w:tc>
      </w:tr>
      <w:tr w:rsidR="005C59E6" w:rsidRPr="00420C85" w14:paraId="3E1D08C4" w14:textId="77777777" w:rsidTr="007D1144">
        <w:trPr>
          <w:trHeight w:val="673"/>
        </w:trPr>
        <w:tc>
          <w:tcPr>
            <w:tcW w:w="1384" w:type="dxa"/>
          </w:tcPr>
          <w:p w14:paraId="18E35F2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Features </w:t>
            </w:r>
          </w:p>
        </w:tc>
        <w:tc>
          <w:tcPr>
            <w:tcW w:w="1559" w:type="dxa"/>
          </w:tcPr>
          <w:p w14:paraId="65C6A626"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device motion tracking</w:t>
            </w:r>
          </w:p>
          <w:p w14:paraId="10E0DC1F"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world tracking</w:t>
            </w:r>
          </w:p>
          <w:p w14:paraId="1D693C59"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scene understanding</w:t>
            </w:r>
          </w:p>
          <w:p w14:paraId="693CE6D0"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985" w:type="dxa"/>
          </w:tcPr>
          <w:p w14:paraId="606FBA83"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Anchors and trackable.</w:t>
            </w:r>
          </w:p>
          <w:p w14:paraId="6051119B"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Augmented Images.</w:t>
            </w:r>
          </w:p>
          <w:p w14:paraId="211D42E0" w14:textId="77777777" w:rsidR="001C5C13" w:rsidRPr="00420C85" w:rsidRDefault="001C5C13" w:rsidP="00420C85">
            <w:pPr>
              <w:ind w:left="572"/>
              <w:jc w:val="both"/>
              <w:rPr>
                <w:rFonts w:ascii="Times New Roman" w:hAnsi="Times New Roman" w:cs="Times New Roman"/>
                <w:sz w:val="24"/>
                <w:szCs w:val="24"/>
              </w:rPr>
            </w:pPr>
          </w:p>
        </w:tc>
        <w:tc>
          <w:tcPr>
            <w:tcW w:w="1701" w:type="dxa"/>
          </w:tcPr>
          <w:p w14:paraId="7A9B3D80"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Boundary, Pass-through and Spatial Anchors</w:t>
            </w:r>
          </w:p>
          <w:p w14:paraId="30934532" w14:textId="6355E5CE"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420C85">
            <w:pPr>
              <w:jc w:val="both"/>
              <w:rPr>
                <w:rFonts w:ascii="Times New Roman" w:hAnsi="Times New Roman" w:cs="Times New Roman"/>
                <w:sz w:val="24"/>
                <w:szCs w:val="24"/>
              </w:rPr>
            </w:pPr>
          </w:p>
          <w:p w14:paraId="5C388882" w14:textId="77777777" w:rsidR="001C5C13" w:rsidRPr="00420C85" w:rsidRDefault="001C5C13" w:rsidP="00420C85">
            <w:pPr>
              <w:jc w:val="both"/>
              <w:rPr>
                <w:rFonts w:ascii="Times New Roman" w:hAnsi="Times New Roman" w:cs="Times New Roman"/>
                <w:sz w:val="24"/>
                <w:szCs w:val="24"/>
              </w:rPr>
            </w:pPr>
          </w:p>
          <w:p w14:paraId="7FD9C8C0" w14:textId="77777777" w:rsidR="001C5C13" w:rsidRPr="00420C85" w:rsidRDefault="001C5C13" w:rsidP="00420C85">
            <w:pPr>
              <w:jc w:val="both"/>
              <w:rPr>
                <w:rFonts w:ascii="Times New Roman" w:hAnsi="Times New Roman" w:cs="Times New Roman"/>
                <w:sz w:val="24"/>
                <w:szCs w:val="24"/>
              </w:rPr>
            </w:pPr>
          </w:p>
          <w:p w14:paraId="60F772AC" w14:textId="77777777" w:rsidR="001C5C13" w:rsidRPr="00420C85" w:rsidRDefault="001C5C13" w:rsidP="00420C85">
            <w:pPr>
              <w:jc w:val="both"/>
              <w:rPr>
                <w:rFonts w:ascii="Times New Roman" w:hAnsi="Times New Roman" w:cs="Times New Roman"/>
                <w:sz w:val="24"/>
                <w:szCs w:val="24"/>
              </w:rPr>
            </w:pPr>
          </w:p>
        </w:tc>
        <w:tc>
          <w:tcPr>
            <w:tcW w:w="1701" w:type="dxa"/>
          </w:tcPr>
          <w:p w14:paraId="0FF71351"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Eye tracking</w:t>
            </w:r>
          </w:p>
          <w:p w14:paraId="14ACD44F"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417" w:type="dxa"/>
          </w:tcPr>
          <w:p w14:paraId="17FED49F"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proofErr w:type="gramStart"/>
            <w:r w:rsidRPr="00420C85">
              <w:rPr>
                <w:rFonts w:ascii="Times New Roman" w:hAnsi="Times New Roman" w:cs="Times New Roman"/>
                <w:sz w:val="24"/>
                <w:szCs w:val="24"/>
              </w:rPr>
              <w:t>5.7 inch</w:t>
            </w:r>
            <w:proofErr w:type="gramEnd"/>
            <w:r w:rsidRPr="00420C85">
              <w:rPr>
                <w:rFonts w:ascii="Times New Roman" w:hAnsi="Times New Roman" w:cs="Times New Roman"/>
                <w:sz w:val="24"/>
                <w:szCs w:val="24"/>
              </w:rPr>
              <w:t xml:space="preserve"> OLED panel</w:t>
            </w:r>
          </w:p>
          <w:p w14:paraId="262F8CE3"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proofErr w:type="gramStart"/>
            <w:r w:rsidRPr="00420C85">
              <w:rPr>
                <w:rFonts w:ascii="Times New Roman" w:hAnsi="Times New Roman" w:cs="Times New Roman"/>
                <w:sz w:val="24"/>
                <w:szCs w:val="24"/>
              </w:rPr>
              <w:t>360 degree</w:t>
            </w:r>
            <w:proofErr w:type="gramEnd"/>
            <w:r w:rsidRPr="00420C85">
              <w:rPr>
                <w:rFonts w:ascii="Times New Roman" w:hAnsi="Times New Roman" w:cs="Times New Roman"/>
                <w:sz w:val="24"/>
                <w:szCs w:val="24"/>
              </w:rPr>
              <w:t xml:space="preserve"> head movement</w:t>
            </w:r>
          </w:p>
        </w:tc>
      </w:tr>
      <w:tr w:rsidR="005C59E6" w:rsidRPr="00420C85" w14:paraId="4933383C" w14:textId="77777777" w:rsidTr="007D1144">
        <w:trPr>
          <w:trHeight w:val="636"/>
        </w:trPr>
        <w:tc>
          <w:tcPr>
            <w:tcW w:w="1384" w:type="dxa"/>
          </w:tcPr>
          <w:p w14:paraId="7AE62828"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Usage Area</w:t>
            </w:r>
          </w:p>
        </w:tc>
        <w:tc>
          <w:tcPr>
            <w:tcW w:w="1559" w:type="dxa"/>
          </w:tcPr>
          <w:p w14:paraId="6A9F886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w:t>
            </w:r>
            <w:proofErr w:type="spellStart"/>
            <w:r w:rsidRPr="00420C85">
              <w:rPr>
                <w:rFonts w:ascii="Times New Roman" w:hAnsi="Times New Roman" w:cs="Times New Roman"/>
                <w:sz w:val="24"/>
                <w:szCs w:val="24"/>
              </w:rPr>
              <w:t>MeasureKIt</w:t>
            </w:r>
            <w:proofErr w:type="spellEnd"/>
            <w:r w:rsidRPr="00420C85">
              <w:rPr>
                <w:rFonts w:ascii="Times New Roman" w:hAnsi="Times New Roman" w:cs="Times New Roman"/>
                <w:sz w:val="24"/>
                <w:szCs w:val="24"/>
              </w:rPr>
              <w:t xml:space="preserve">, </w:t>
            </w:r>
            <w:proofErr w:type="spellStart"/>
            <w:r w:rsidRPr="00420C85">
              <w:rPr>
                <w:rFonts w:ascii="Times New Roman" w:hAnsi="Times New Roman" w:cs="Times New Roman"/>
                <w:sz w:val="24"/>
                <w:szCs w:val="24"/>
              </w:rPr>
              <w:t>jigshaw</w:t>
            </w:r>
            <w:proofErr w:type="spellEnd"/>
            <w:r w:rsidRPr="00420C85">
              <w:rPr>
                <w:rFonts w:ascii="Times New Roman" w:hAnsi="Times New Roman" w:cs="Times New Roman"/>
                <w:sz w:val="24"/>
                <w:szCs w:val="24"/>
              </w:rPr>
              <w:t>, kings of pool etc.</w:t>
            </w:r>
          </w:p>
        </w:tc>
        <w:tc>
          <w:tcPr>
            <w:tcW w:w="1985" w:type="dxa"/>
          </w:tcPr>
          <w:p w14:paraId="053FE93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w:t>
            </w:r>
            <w:proofErr w:type="spellStart"/>
            <w:r w:rsidRPr="00420C85">
              <w:rPr>
                <w:rFonts w:ascii="Times New Roman" w:hAnsi="Times New Roman" w:cs="Times New Roman"/>
                <w:sz w:val="24"/>
                <w:szCs w:val="24"/>
              </w:rPr>
              <w:t>Measureapp</w:t>
            </w:r>
            <w:proofErr w:type="spellEnd"/>
            <w:r w:rsidRPr="00420C85">
              <w:rPr>
                <w:rFonts w:ascii="Times New Roman" w:hAnsi="Times New Roman" w:cs="Times New Roman"/>
                <w:sz w:val="24"/>
                <w:szCs w:val="24"/>
              </w:rPr>
              <w:t xml:space="preserve">, INKHUNTER, Mole Catch AR, Beer Pong etc. </w:t>
            </w:r>
          </w:p>
        </w:tc>
        <w:tc>
          <w:tcPr>
            <w:tcW w:w="1701" w:type="dxa"/>
          </w:tcPr>
          <w:p w14:paraId="7FE21BF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701" w:type="dxa"/>
          </w:tcPr>
          <w:p w14:paraId="20570BA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417" w:type="dxa"/>
          </w:tcPr>
          <w:p w14:paraId="4665C49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7D1144">
        <w:trPr>
          <w:trHeight w:val="673"/>
        </w:trPr>
        <w:tc>
          <w:tcPr>
            <w:tcW w:w="1384" w:type="dxa"/>
          </w:tcPr>
          <w:p w14:paraId="4D0120C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Market Revenue</w:t>
            </w:r>
          </w:p>
        </w:tc>
        <w:tc>
          <w:tcPr>
            <w:tcW w:w="1559" w:type="dxa"/>
          </w:tcPr>
          <w:p w14:paraId="3F542B7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50.37 billion in 2023</w:t>
            </w:r>
          </w:p>
        </w:tc>
        <w:tc>
          <w:tcPr>
            <w:tcW w:w="1985" w:type="dxa"/>
          </w:tcPr>
          <w:p w14:paraId="1B15648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1.9 billion in 2023</w:t>
            </w:r>
          </w:p>
        </w:tc>
        <w:tc>
          <w:tcPr>
            <w:tcW w:w="1701" w:type="dxa"/>
          </w:tcPr>
          <w:p w14:paraId="65F034B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3 million</w:t>
            </w:r>
          </w:p>
        </w:tc>
        <w:tc>
          <w:tcPr>
            <w:tcW w:w="1417" w:type="dxa"/>
          </w:tcPr>
          <w:p w14:paraId="4B23036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25.96 billion</w:t>
            </w:r>
          </w:p>
        </w:tc>
      </w:tr>
      <w:tr w:rsidR="005C59E6" w:rsidRPr="00420C85" w14:paraId="1B09B0ED" w14:textId="77777777" w:rsidTr="007D1144">
        <w:trPr>
          <w:trHeight w:val="636"/>
        </w:trPr>
        <w:tc>
          <w:tcPr>
            <w:tcW w:w="1384" w:type="dxa"/>
          </w:tcPr>
          <w:p w14:paraId="671CA40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of Units Sold</w:t>
            </w:r>
          </w:p>
        </w:tc>
        <w:tc>
          <w:tcPr>
            <w:tcW w:w="1559" w:type="dxa"/>
          </w:tcPr>
          <w:p w14:paraId="50CC85F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985" w:type="dxa"/>
          </w:tcPr>
          <w:p w14:paraId="513C392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2.03 million</w:t>
            </w:r>
          </w:p>
        </w:tc>
        <w:tc>
          <w:tcPr>
            <w:tcW w:w="1701" w:type="dxa"/>
          </w:tcPr>
          <w:p w14:paraId="622D3A1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million</w:t>
            </w:r>
          </w:p>
        </w:tc>
        <w:tc>
          <w:tcPr>
            <w:tcW w:w="1417" w:type="dxa"/>
          </w:tcPr>
          <w:p w14:paraId="7C1A610A" w14:textId="77777777" w:rsidR="001C5C13" w:rsidRPr="00420C85" w:rsidRDefault="001C5C13" w:rsidP="00AD4F7C">
            <w:pPr>
              <w:keepNext/>
              <w:jc w:val="both"/>
              <w:rPr>
                <w:rFonts w:ascii="Times New Roman" w:hAnsi="Times New Roman" w:cs="Times New Roman"/>
                <w:sz w:val="24"/>
                <w:szCs w:val="24"/>
              </w:rPr>
            </w:pPr>
            <w:r w:rsidRPr="00420C85">
              <w:rPr>
                <w:rFonts w:ascii="Times New Roman" w:hAnsi="Times New Roman" w:cs="Times New Roman"/>
                <w:sz w:val="24"/>
                <w:szCs w:val="24"/>
              </w:rPr>
              <w:t>50 million</w:t>
            </w:r>
          </w:p>
        </w:tc>
      </w:tr>
    </w:tbl>
    <w:p w14:paraId="0C0EEA46" w14:textId="4FF87462" w:rsidR="00AD4F7C" w:rsidRDefault="00AD4F7C">
      <w:pPr>
        <w:pStyle w:val="Caption"/>
      </w:pPr>
      <w:r>
        <w:t xml:space="preserve">                                                                      </w:t>
      </w:r>
      <w:r w:rsidR="002B59D7">
        <w:t xml:space="preserve">Table 4: </w:t>
      </w:r>
      <w:r>
        <w:t>Growing and famous Commercial AR/VR Products</w:t>
      </w:r>
    </w:p>
    <w:p w14:paraId="01F10C25" w14:textId="363C20BE"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The previously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7EABBEC1"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 and Future Scope</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495D07AB" w14:textId="6507D2A9"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The Apple Vision Pro, launched in February 2024, has swiftly become a viral sensation, setting new trends in the AR and VR industry. Users are enthusiastically sharing their experiences on social media, wearing the headset while engaged in various activities like running errands, working out, and even driving. The device offers a transformative experience, turning any room into a personal theatre with Spatial Audio, and features Apple's first 3D camera for capturing spatial photos and videos.</w:t>
      </w:r>
    </w:p>
    <w:p w14:paraId="10FBFC6C"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Despite its premium price and lower battery life, the Vision Pro saw a pre-order surge, with 180,000 units sold during the pre-order weekend. This reflects significant demand for high-quality AR/VR devices, with Apple leading the charge in meeting this demand. A low return rate of just 1% indicates that consumers are well-informed about the product's capabilities and are satisfied with their purchase decisions.</w:t>
      </w:r>
    </w:p>
    <w:p w14:paraId="2E0F71C9"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Looking ahead, the future scope of the Apple Vision Pro is promising. As AR and VR technologies advance, the device is poised to offer even more immersive and intuitive experiences. It has the potential to revolutionize various sectors, including education, healthcare, and entertainment, by providing interactive and engaging platforms for learning, working, and entertainment.</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ED66075" w14:textId="138EC1A9" w:rsidR="009539CC" w:rsidRPr="00420C85" w:rsidRDefault="00074A9E"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Future Scope:</w:t>
      </w:r>
    </w:p>
    <w:p w14:paraId="7E4852C7" w14:textId="77777777" w:rsidR="002B59D7" w:rsidRDefault="009539CC" w:rsidP="002B59D7">
      <w:pPr>
        <w:keepNext/>
        <w:spacing w:line="360" w:lineRule="auto"/>
      </w:pPr>
      <w:r w:rsidRPr="00420C85">
        <w:rPr>
          <w:rFonts w:ascii="Times New Roman" w:hAnsi="Times New Roman" w:cs="Times New Roman"/>
          <w:noProof/>
          <w:sz w:val="24"/>
          <w:szCs w:val="24"/>
        </w:rPr>
        <w:lastRenderedPageBreak/>
        <w:drawing>
          <wp:inline distT="0" distB="0" distL="0" distR="0" wp14:anchorId="333F5684" wp14:editId="61FEA43D">
            <wp:extent cx="3781425" cy="2694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noFill/>
                    </a:ln>
                  </pic:spPr>
                </pic:pic>
              </a:graphicData>
            </a:graphic>
          </wp:inline>
        </w:drawing>
      </w:r>
    </w:p>
    <w:p w14:paraId="3C6767BD" w14:textId="074711BF" w:rsidR="009539CC" w:rsidRPr="00420C85" w:rsidRDefault="002B59D7" w:rsidP="002B59D7">
      <w:pPr>
        <w:pStyle w:val="Caption"/>
        <w:rPr>
          <w:rFonts w:ascii="Times New Roman" w:hAnsi="Times New Roman" w:cs="Times New Roman"/>
          <w:sz w:val="24"/>
          <w:szCs w:val="24"/>
          <w:lang w:val="en-US"/>
        </w:rPr>
      </w:pPr>
      <w:r>
        <w:t xml:space="preserve">                                                Graph 4: Forecast</w:t>
      </w:r>
    </w:p>
    <w:p w14:paraId="113F3DC7" w14:textId="77777777"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w:t>
      </w:r>
      <w:proofErr w:type="gramStart"/>
      <w:r w:rsidRPr="00420C85">
        <w:rPr>
          <w:rFonts w:ascii="Times New Roman" w:hAnsi="Times New Roman" w:cs="Times New Roman"/>
          <w:sz w:val="24"/>
          <w:szCs w:val="24"/>
          <w:lang w:val="en-US"/>
        </w:rPr>
        <w:t>Healthcare</w:t>
      </w:r>
      <w:proofErr w:type="gramEnd"/>
      <w:r w:rsidRPr="00420C85">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518BA683" w14:textId="4231A388" w:rsidR="00E538CD"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37D050C2" w14:textId="5ACBCCB2" w:rsidR="009539CC" w:rsidRPr="00420C85" w:rsidRDefault="00291A6C" w:rsidP="00291A6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824DD3F" w14:textId="00A2170E"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lastRenderedPageBreak/>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Pr="00420C85" w:rsidRDefault="00EE6CC6" w:rsidP="00420C85">
      <w:pPr>
        <w:spacing w:line="360" w:lineRule="auto"/>
        <w:jc w:val="both"/>
        <w:rPr>
          <w:rFonts w:ascii="Times New Roman" w:hAnsi="Times New Roman" w:cs="Times New Roman"/>
          <w:sz w:val="24"/>
          <w:szCs w:val="24"/>
          <w:lang w:val="en-US"/>
        </w:rPr>
      </w:pPr>
    </w:p>
    <w:p w14:paraId="13B0EB1A" w14:textId="2ABAF97C" w:rsidR="00EE6CC6" w:rsidRPr="0089189C" w:rsidRDefault="00EE6CC6" w:rsidP="00420C85">
      <w:pPr>
        <w:spacing w:line="360" w:lineRule="auto"/>
        <w:jc w:val="both"/>
        <w:rPr>
          <w:rFonts w:ascii="Times New Roman" w:hAnsi="Times New Roman" w:cs="Times New Roman"/>
          <w:lang w:val="en-US"/>
        </w:rPr>
      </w:pPr>
      <w:r w:rsidRPr="0089189C">
        <w:rPr>
          <w:rFonts w:ascii="Times New Roman" w:hAnsi="Times New Roman" w:cs="Times New Roman"/>
          <w:lang w:val="en-US"/>
        </w:rPr>
        <w:t>Reference</w:t>
      </w:r>
    </w:p>
    <w:p w14:paraId="28C435CA" w14:textId="139F233E" w:rsidR="0001103D" w:rsidRPr="0025436E" w:rsidRDefault="00416BB6" w:rsidP="00420C85">
      <w:pPr>
        <w:spacing w:line="360" w:lineRule="auto"/>
        <w:jc w:val="both"/>
        <w:rPr>
          <w:rFonts w:ascii="Times New Roman" w:hAnsi="Times New Roman" w:cs="Times New Roman"/>
          <w:vertAlign w:val="superscript"/>
          <w:lang w:val="en-US"/>
        </w:rPr>
      </w:pPr>
      <w:r>
        <w:t>[1]</w:t>
      </w:r>
      <w:hyperlink r:id="rId12" w:history="1">
        <w:r w:rsidR="0001103D" w:rsidRPr="0089189C">
          <w:rPr>
            <w:rStyle w:val="Hyperlink"/>
            <w:rFonts w:ascii="Times New Roman" w:hAnsi="Times New Roman" w:cs="Times New Roman"/>
            <w:lang w:val="en-US"/>
          </w:rPr>
          <w:t xml:space="preserve">Al-Ansi, Abdullah &amp; </w:t>
        </w:r>
        <w:proofErr w:type="spellStart"/>
        <w:r w:rsidR="0001103D" w:rsidRPr="0089189C">
          <w:rPr>
            <w:rStyle w:val="Hyperlink"/>
            <w:rFonts w:ascii="Times New Roman" w:hAnsi="Times New Roman" w:cs="Times New Roman"/>
            <w:lang w:val="en-US"/>
          </w:rPr>
          <w:t>Jaboob</w:t>
        </w:r>
        <w:proofErr w:type="spellEnd"/>
        <w:r w:rsidR="0001103D" w:rsidRPr="0089189C">
          <w:rPr>
            <w:rStyle w:val="Hyperlink"/>
            <w:rFonts w:ascii="Times New Roman" w:hAnsi="Times New Roman" w:cs="Times New Roman"/>
            <w:lang w:val="en-US"/>
          </w:rPr>
          <w:t>, Mohammed &amp; Garad, Askar &amp; Al-Ansi, Ahmed. (2023). Analyzing augmented reality (AR) and virtual reality (VR) recent development in education. Social Sciences &amp; Humanities Open. 8. 100532. 10.1016/j.ssaho.2023.100532.</w:t>
        </w:r>
      </w:hyperlink>
    </w:p>
    <w:p w14:paraId="12385BB3" w14:textId="2E086889" w:rsidR="0001103D" w:rsidRPr="0025436E" w:rsidRDefault="00416BB6" w:rsidP="00420C85">
      <w:pPr>
        <w:spacing w:line="360" w:lineRule="auto"/>
        <w:jc w:val="both"/>
        <w:rPr>
          <w:rFonts w:ascii="Times New Roman" w:hAnsi="Times New Roman" w:cs="Times New Roman"/>
          <w:vertAlign w:val="superscript"/>
          <w:lang w:val="en-US"/>
        </w:rPr>
      </w:pPr>
      <w:r>
        <w:t>[2]</w:t>
      </w:r>
      <w:hyperlink r:id="rId13" w:history="1">
        <w:r w:rsidR="0001103D" w:rsidRPr="0089189C">
          <w:rPr>
            <w:rStyle w:val="Hyperlink"/>
            <w:rFonts w:ascii="Times New Roman" w:hAnsi="Times New Roman" w:cs="Times New Roman"/>
            <w:lang w:val="en-US"/>
          </w:rPr>
          <w:t>Shankar, Dr &amp; Nandi, Veena &amp; Rahman, Mujibur &amp; Mishra, Amitabh &amp; Bajaj, K.K.. (2023). Impact of Virtual Reality (</w:t>
        </w:r>
        <w:proofErr w:type="spellStart"/>
        <w:r w:rsidR="0001103D" w:rsidRPr="0089189C">
          <w:rPr>
            <w:rStyle w:val="Hyperlink"/>
            <w:rFonts w:ascii="Times New Roman" w:hAnsi="Times New Roman" w:cs="Times New Roman"/>
            <w:lang w:val="en-US"/>
          </w:rPr>
          <w:t>Vr</w:t>
        </w:r>
        <w:proofErr w:type="spellEnd"/>
        <w:r w:rsidR="0001103D" w:rsidRPr="0089189C">
          <w:rPr>
            <w:rStyle w:val="Hyperlink"/>
            <w:rFonts w:ascii="Times New Roman" w:hAnsi="Times New Roman" w:cs="Times New Roman"/>
            <w:lang w:val="en-US"/>
          </w:rPr>
          <w:t>) and Augmented Reality (</w:t>
        </w:r>
        <w:proofErr w:type="spellStart"/>
        <w:r w:rsidR="0001103D" w:rsidRPr="0089189C">
          <w:rPr>
            <w:rStyle w:val="Hyperlink"/>
            <w:rFonts w:ascii="Times New Roman" w:hAnsi="Times New Roman" w:cs="Times New Roman"/>
            <w:lang w:val="en-US"/>
          </w:rPr>
          <w:t>Ar</w:t>
        </w:r>
        <w:proofErr w:type="spellEnd"/>
        <w:r w:rsidR="0001103D" w:rsidRPr="0089189C">
          <w:rPr>
            <w:rStyle w:val="Hyperlink"/>
            <w:rFonts w:ascii="Times New Roman" w:hAnsi="Times New Roman" w:cs="Times New Roman"/>
            <w:lang w:val="en-US"/>
          </w:rPr>
          <w:t>) in Education.</w:t>
        </w:r>
      </w:hyperlink>
    </w:p>
    <w:p w14:paraId="61013CE9" w14:textId="78550B59" w:rsidR="0001103D" w:rsidRPr="0025436E" w:rsidRDefault="00416BB6" w:rsidP="00420C85">
      <w:pPr>
        <w:spacing w:line="360" w:lineRule="auto"/>
        <w:jc w:val="both"/>
        <w:rPr>
          <w:rFonts w:ascii="Times New Roman" w:hAnsi="Times New Roman" w:cs="Times New Roman"/>
          <w:vertAlign w:val="superscript"/>
          <w:lang w:val="en-US"/>
        </w:rPr>
      </w:pPr>
      <w:r>
        <w:t>[3]</w:t>
      </w:r>
      <w:hyperlink r:id="rId14" w:history="1">
        <w:proofErr w:type="spellStart"/>
        <w:r w:rsidR="0001103D" w:rsidRPr="0089189C">
          <w:rPr>
            <w:rStyle w:val="Hyperlink"/>
            <w:rFonts w:ascii="Times New Roman" w:hAnsi="Times New Roman" w:cs="Times New Roman"/>
            <w:lang w:val="en-US"/>
          </w:rPr>
          <w:t>Labedan</w:t>
        </w:r>
        <w:proofErr w:type="spellEnd"/>
        <w:r w:rsidR="0001103D" w:rsidRPr="0089189C">
          <w:rPr>
            <w:rStyle w:val="Hyperlink"/>
            <w:rFonts w:ascii="Times New Roman" w:hAnsi="Times New Roman" w:cs="Times New Roman"/>
            <w:lang w:val="en-US"/>
          </w:rPr>
          <w:t xml:space="preserve">, Patrice &amp; </w:t>
        </w:r>
        <w:proofErr w:type="spellStart"/>
        <w:r w:rsidR="0001103D" w:rsidRPr="0089189C">
          <w:rPr>
            <w:rStyle w:val="Hyperlink"/>
            <w:rFonts w:ascii="Times New Roman" w:hAnsi="Times New Roman" w:cs="Times New Roman"/>
            <w:lang w:val="en-US"/>
          </w:rPr>
          <w:t>Darodes</w:t>
        </w:r>
        <w:proofErr w:type="spellEnd"/>
        <w:r w:rsidR="0001103D" w:rsidRPr="0089189C">
          <w:rPr>
            <w:rStyle w:val="Hyperlink"/>
            <w:rFonts w:ascii="Times New Roman" w:hAnsi="Times New Roman" w:cs="Times New Roman"/>
            <w:lang w:val="en-US"/>
          </w:rPr>
          <w:t>-de-</w:t>
        </w:r>
        <w:proofErr w:type="spellStart"/>
        <w:r w:rsidR="0001103D" w:rsidRPr="0089189C">
          <w:rPr>
            <w:rStyle w:val="Hyperlink"/>
            <w:rFonts w:ascii="Times New Roman" w:hAnsi="Times New Roman" w:cs="Times New Roman"/>
            <w:lang w:val="en-US"/>
          </w:rPr>
          <w:t>Tailly</w:t>
        </w:r>
        <w:proofErr w:type="spellEnd"/>
        <w:r w:rsidR="0001103D" w:rsidRPr="0089189C">
          <w:rPr>
            <w:rStyle w:val="Hyperlink"/>
            <w:rFonts w:ascii="Times New Roman" w:hAnsi="Times New Roman" w:cs="Times New Roman"/>
            <w:lang w:val="en-US"/>
          </w:rPr>
          <w:t xml:space="preserve">, Nicolas &amp; </w:t>
        </w:r>
        <w:proofErr w:type="spellStart"/>
        <w:r w:rsidR="0001103D" w:rsidRPr="0089189C">
          <w:rPr>
            <w:rStyle w:val="Hyperlink"/>
            <w:rFonts w:ascii="Times New Roman" w:hAnsi="Times New Roman" w:cs="Times New Roman"/>
            <w:lang w:val="en-US"/>
          </w:rPr>
          <w:t>Dehais</w:t>
        </w:r>
        <w:proofErr w:type="spellEnd"/>
        <w:r w:rsidR="0001103D" w:rsidRPr="0089189C">
          <w:rPr>
            <w:rStyle w:val="Hyperlink"/>
            <w:rFonts w:ascii="Times New Roman" w:hAnsi="Times New Roman" w:cs="Times New Roman"/>
            <w:lang w:val="en-US"/>
          </w:rPr>
          <w:t xml:space="preserve">, Frédéric &amp; </w:t>
        </w:r>
        <w:proofErr w:type="spellStart"/>
        <w:r w:rsidR="0001103D" w:rsidRPr="0089189C">
          <w:rPr>
            <w:rStyle w:val="Hyperlink"/>
            <w:rFonts w:ascii="Times New Roman" w:hAnsi="Times New Roman" w:cs="Times New Roman"/>
            <w:lang w:val="en-US"/>
          </w:rPr>
          <w:t>Peysakhovich</w:t>
        </w:r>
        <w:proofErr w:type="spellEnd"/>
        <w:r w:rsidR="0001103D" w:rsidRPr="0089189C">
          <w:rPr>
            <w:rStyle w:val="Hyperlink"/>
            <w:rFonts w:ascii="Times New Roman" w:hAnsi="Times New Roman" w:cs="Times New Roman"/>
            <w:lang w:val="en-US"/>
          </w:rPr>
          <w:t>, Vsevolod. (2021). Virtual Reality for Pilot Training: Study of Cardiac Activity. 81-88. 10.5220/0010296700810088.</w:t>
        </w:r>
      </w:hyperlink>
    </w:p>
    <w:p w14:paraId="62B8B360" w14:textId="67032E65" w:rsidR="0001103D" w:rsidRPr="0025436E" w:rsidRDefault="00416BB6" w:rsidP="00420C85">
      <w:pPr>
        <w:spacing w:line="360" w:lineRule="auto"/>
        <w:jc w:val="both"/>
        <w:rPr>
          <w:rFonts w:ascii="Times New Roman" w:hAnsi="Times New Roman" w:cs="Times New Roman"/>
          <w:color w:val="212121"/>
          <w:shd w:val="clear" w:color="auto" w:fill="FFFFFF"/>
          <w:vertAlign w:val="superscript"/>
        </w:rPr>
      </w:pPr>
      <w:r>
        <w:t>[4]</w:t>
      </w:r>
      <w:hyperlink r:id="rId15" w:history="1">
        <w:r w:rsidR="008E6206" w:rsidRPr="0089189C">
          <w:rPr>
            <w:rStyle w:val="Hyperlink"/>
            <w:rFonts w:ascii="Times New Roman" w:hAnsi="Times New Roman" w:cs="Times New Roman"/>
            <w:shd w:val="clear" w:color="auto" w:fill="FFFFFF"/>
          </w:rPr>
          <w:t xml:space="preserve">Hussain Z, Ng DM, </w:t>
        </w:r>
        <w:proofErr w:type="spellStart"/>
        <w:r w:rsidR="008E6206" w:rsidRPr="0089189C">
          <w:rPr>
            <w:rStyle w:val="Hyperlink"/>
            <w:rFonts w:ascii="Times New Roman" w:hAnsi="Times New Roman" w:cs="Times New Roman"/>
            <w:shd w:val="clear" w:color="auto" w:fill="FFFFFF"/>
          </w:rPr>
          <w:t>Alnafisee</w:t>
        </w:r>
        <w:proofErr w:type="spellEnd"/>
        <w:r w:rsidR="008E6206" w:rsidRPr="0089189C">
          <w:rPr>
            <w:rStyle w:val="Hyperlink"/>
            <w:rFonts w:ascii="Times New Roman" w:hAnsi="Times New Roman" w:cs="Times New Roman"/>
            <w:shd w:val="clear" w:color="auto" w:fill="FFFFFF"/>
          </w:rPr>
          <w:t xml:space="preserve"> N, Sheikh Z, Ng N, Khan A, Hussain A, Aitken D, Sheikh A. Effectiveness of virtual and augmented reality for improving knowledge and skills in medical students: protocol for a systematic review. BMJ Open. 2021 Aug 16;11(8</w:t>
        </w:r>
        <w:proofErr w:type="gramStart"/>
        <w:r w:rsidR="008E6206" w:rsidRPr="0089189C">
          <w:rPr>
            <w:rStyle w:val="Hyperlink"/>
            <w:rFonts w:ascii="Times New Roman" w:hAnsi="Times New Roman" w:cs="Times New Roman"/>
            <w:shd w:val="clear" w:color="auto" w:fill="FFFFFF"/>
          </w:rPr>
          <w:t>):e</w:t>
        </w:r>
        <w:proofErr w:type="gramEnd"/>
        <w:r w:rsidR="008E6206" w:rsidRPr="0089189C">
          <w:rPr>
            <w:rStyle w:val="Hyperlink"/>
            <w:rFonts w:ascii="Times New Roman" w:hAnsi="Times New Roman" w:cs="Times New Roman"/>
            <w:shd w:val="clear" w:color="auto" w:fill="FFFFFF"/>
          </w:rPr>
          <w:t xml:space="preserve">047004. </w:t>
        </w:r>
        <w:proofErr w:type="spellStart"/>
        <w:r w:rsidR="008E6206" w:rsidRPr="0089189C">
          <w:rPr>
            <w:rStyle w:val="Hyperlink"/>
            <w:rFonts w:ascii="Times New Roman" w:hAnsi="Times New Roman" w:cs="Times New Roman"/>
            <w:shd w:val="clear" w:color="auto" w:fill="FFFFFF"/>
          </w:rPr>
          <w:t>doi</w:t>
        </w:r>
        <w:proofErr w:type="spellEnd"/>
        <w:r w:rsidR="008E6206" w:rsidRPr="0089189C">
          <w:rPr>
            <w:rStyle w:val="Hyperlink"/>
            <w:rFonts w:ascii="Times New Roman" w:hAnsi="Times New Roman" w:cs="Times New Roman"/>
            <w:shd w:val="clear" w:color="auto" w:fill="FFFFFF"/>
          </w:rPr>
          <w:t>: 10.1136/bmjopen-2020-047004. PMID: 34400451; PMCID: PMC8370502.</w:t>
        </w:r>
      </w:hyperlink>
    </w:p>
    <w:p w14:paraId="2DD36B22" w14:textId="58C8E46D" w:rsidR="008E6206" w:rsidRPr="0025436E" w:rsidRDefault="00416BB6" w:rsidP="00420C85">
      <w:pPr>
        <w:spacing w:line="360" w:lineRule="auto"/>
        <w:jc w:val="both"/>
        <w:rPr>
          <w:rFonts w:ascii="Times New Roman" w:hAnsi="Times New Roman" w:cs="Times New Roman"/>
          <w:vertAlign w:val="superscript"/>
          <w:lang w:val="en-US"/>
        </w:rPr>
      </w:pPr>
      <w:r>
        <w:t>[5]</w:t>
      </w:r>
      <w:hyperlink r:id="rId16" w:history="1">
        <w:r w:rsidR="008E6206" w:rsidRPr="0089189C">
          <w:rPr>
            <w:rStyle w:val="Hyperlink"/>
            <w:rFonts w:ascii="Times New Roman" w:hAnsi="Times New Roman" w:cs="Times New Roman"/>
            <w:lang w:val="en-US"/>
          </w:rPr>
          <w:t xml:space="preserve">Hsieh, Min-Chai &amp; Lin, Yu-Hsuan. (2017). VR and AR Applications in Medical Practice and Education. Hu li za </w:t>
        </w:r>
        <w:proofErr w:type="spellStart"/>
        <w:r w:rsidR="008E6206" w:rsidRPr="0089189C">
          <w:rPr>
            <w:rStyle w:val="Hyperlink"/>
            <w:rFonts w:ascii="Times New Roman" w:hAnsi="Times New Roman" w:cs="Times New Roman"/>
            <w:lang w:val="en-US"/>
          </w:rPr>
          <w:t>zhi</w:t>
        </w:r>
        <w:proofErr w:type="spellEnd"/>
        <w:r w:rsidR="008E6206" w:rsidRPr="0089189C">
          <w:rPr>
            <w:rStyle w:val="Hyperlink"/>
            <w:rFonts w:ascii="Times New Roman" w:hAnsi="Times New Roman" w:cs="Times New Roman"/>
            <w:lang w:val="en-US"/>
          </w:rPr>
          <w:t xml:space="preserve"> </w:t>
        </w:r>
        <w:proofErr w:type="gramStart"/>
        <w:r w:rsidR="008E6206" w:rsidRPr="0089189C">
          <w:rPr>
            <w:rStyle w:val="Hyperlink"/>
            <w:rFonts w:ascii="Times New Roman" w:hAnsi="Times New Roman" w:cs="Times New Roman"/>
            <w:lang w:val="en-US"/>
          </w:rPr>
          <w:t>The</w:t>
        </w:r>
        <w:proofErr w:type="gramEnd"/>
        <w:r w:rsidR="008E6206" w:rsidRPr="0089189C">
          <w:rPr>
            <w:rStyle w:val="Hyperlink"/>
            <w:rFonts w:ascii="Times New Roman" w:hAnsi="Times New Roman" w:cs="Times New Roman"/>
            <w:lang w:val="en-US"/>
          </w:rPr>
          <w:t xml:space="preserve"> journal of nursing. 64. 12-18. 10.6224/JN.000078.</w:t>
        </w:r>
      </w:hyperlink>
    </w:p>
    <w:p w14:paraId="06620029" w14:textId="2B4CC3D9" w:rsidR="0089189C" w:rsidRPr="0025436E" w:rsidRDefault="00416BB6" w:rsidP="00420C85">
      <w:pPr>
        <w:spacing w:line="360" w:lineRule="auto"/>
        <w:jc w:val="both"/>
        <w:rPr>
          <w:rFonts w:ascii="Times New Roman" w:hAnsi="Times New Roman" w:cs="Times New Roman"/>
          <w:vertAlign w:val="superscript"/>
          <w:lang w:val="en-US"/>
        </w:rPr>
      </w:pPr>
      <w:r>
        <w:t>[6]</w:t>
      </w:r>
      <w:hyperlink r:id="rId17" w:history="1">
        <w:r w:rsidR="0089189C" w:rsidRPr="0089189C">
          <w:rPr>
            <w:rStyle w:val="Hyperlink"/>
            <w:rFonts w:ascii="Times New Roman" w:hAnsi="Times New Roman" w:cs="Times New Roman"/>
            <w:lang w:val="en-US"/>
          </w:rPr>
          <w:t>Kazu, İbrahim Yaşar &amp; Kuvvetli, Murat. (2023). The Impact of Virtual Reality Technology on Student Engagement and Learning Outcomes in Higher Education.</w:t>
        </w:r>
      </w:hyperlink>
    </w:p>
    <w:p w14:paraId="7652866F" w14:textId="6D2B4FA1" w:rsidR="0089189C" w:rsidRPr="0025436E" w:rsidRDefault="00416BB6" w:rsidP="00420C85">
      <w:pPr>
        <w:spacing w:line="360" w:lineRule="auto"/>
        <w:jc w:val="both"/>
        <w:rPr>
          <w:rFonts w:ascii="Times New Roman" w:hAnsi="Times New Roman" w:cs="Times New Roman"/>
          <w:vertAlign w:val="superscript"/>
          <w:lang w:val="en-US"/>
        </w:rPr>
      </w:pPr>
      <w:r>
        <w:t>[7]</w:t>
      </w:r>
      <w:hyperlink r:id="rId18" w:history="1">
        <w:r w:rsidR="0089189C" w:rsidRPr="0089189C">
          <w:rPr>
            <w:rStyle w:val="Hyperlink"/>
            <w:rFonts w:ascii="Times New Roman" w:hAnsi="Times New Roman" w:cs="Times New Roman"/>
            <w:lang w:val="en-US"/>
          </w:rPr>
          <w:t xml:space="preserve">Zhang, Jing &amp; Yu, Na &amp; Wang, Bin &amp; </w:t>
        </w:r>
        <w:proofErr w:type="spellStart"/>
        <w:r w:rsidR="0089189C" w:rsidRPr="0089189C">
          <w:rPr>
            <w:rStyle w:val="Hyperlink"/>
            <w:rFonts w:ascii="Times New Roman" w:hAnsi="Times New Roman" w:cs="Times New Roman"/>
            <w:lang w:val="en-US"/>
          </w:rPr>
          <w:t>Lv</w:t>
        </w:r>
        <w:proofErr w:type="spellEnd"/>
        <w:r w:rsidR="0089189C" w:rsidRPr="0089189C">
          <w:rPr>
            <w:rStyle w:val="Hyperlink"/>
            <w:rFonts w:ascii="Times New Roman" w:hAnsi="Times New Roman" w:cs="Times New Roman"/>
            <w:lang w:val="en-US"/>
          </w:rPr>
          <w:t xml:space="preserve">, Xin. (2022). Trends in the Use of Augmented Reality, Virtual Reality, and Mixed Reality in Surgical Research: </w:t>
        </w:r>
        <w:proofErr w:type="gramStart"/>
        <w:r w:rsidR="0089189C" w:rsidRPr="0089189C">
          <w:rPr>
            <w:rStyle w:val="Hyperlink"/>
            <w:rFonts w:ascii="Times New Roman" w:hAnsi="Times New Roman" w:cs="Times New Roman"/>
            <w:lang w:val="en-US"/>
          </w:rPr>
          <w:t>a</w:t>
        </w:r>
        <w:proofErr w:type="gramEnd"/>
        <w:r w:rsidR="0089189C" w:rsidRPr="0089189C">
          <w:rPr>
            <w:rStyle w:val="Hyperlink"/>
            <w:rFonts w:ascii="Times New Roman" w:hAnsi="Times New Roman" w:cs="Times New Roman"/>
            <w:lang w:val="en-US"/>
          </w:rPr>
          <w:t xml:space="preserve"> Global Bibliometric and Visualized Analysis. Indian Journal of Surgery. 84. 10.1007/s12262-021-03243-w.</w:t>
        </w:r>
      </w:hyperlink>
    </w:p>
    <w:p w14:paraId="037D7DF0" w14:textId="77777777" w:rsidR="0025436E" w:rsidRPr="0089189C" w:rsidRDefault="00000000" w:rsidP="0025436E">
      <w:pPr>
        <w:spacing w:line="360" w:lineRule="auto"/>
        <w:jc w:val="both"/>
        <w:rPr>
          <w:rFonts w:ascii="Times New Roman" w:hAnsi="Times New Roman" w:cs="Times New Roman"/>
          <w:lang w:val="en-US"/>
        </w:rPr>
      </w:pPr>
      <w:hyperlink r:id="rId19" w:history="1">
        <w:r w:rsidR="0025436E" w:rsidRPr="0089189C">
          <w:rPr>
            <w:rStyle w:val="Hyperlink"/>
            <w:rFonts w:ascii="Times New Roman" w:hAnsi="Times New Roman" w:cs="Times New Roman"/>
            <w:lang w:val="en-US"/>
          </w:rPr>
          <w:t>https://financesonline.com/virtual-realit</w:t>
        </w:r>
        <w:r w:rsidR="0025436E" w:rsidRPr="0089189C">
          <w:rPr>
            <w:rStyle w:val="Hyperlink"/>
            <w:rFonts w:ascii="Times New Roman" w:hAnsi="Times New Roman" w:cs="Times New Roman"/>
            <w:lang w:val="en-US"/>
          </w:rPr>
          <w:t>y</w:t>
        </w:r>
        <w:r w:rsidR="0025436E" w:rsidRPr="0089189C">
          <w:rPr>
            <w:rStyle w:val="Hyperlink"/>
            <w:rFonts w:ascii="Times New Roman" w:hAnsi="Times New Roman" w:cs="Times New Roman"/>
            <w:lang w:val="en-US"/>
          </w:rPr>
          <w:t>-statistics/</w:t>
        </w:r>
      </w:hyperlink>
    </w:p>
    <w:p w14:paraId="1B77A0CC" w14:textId="77777777" w:rsidR="0001103D" w:rsidRPr="00420C85" w:rsidRDefault="0001103D" w:rsidP="00420C85">
      <w:pPr>
        <w:spacing w:line="360" w:lineRule="auto"/>
        <w:jc w:val="both"/>
        <w:rPr>
          <w:rFonts w:ascii="Times New Roman" w:hAnsi="Times New Roman" w:cs="Times New Roman"/>
          <w:sz w:val="24"/>
          <w:szCs w:val="24"/>
          <w:lang w:val="en-US"/>
        </w:rPr>
      </w:pPr>
    </w:p>
    <w:sectPr w:rsidR="0001103D" w:rsidRPr="00420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314895">
    <w:abstractNumId w:val="3"/>
  </w:num>
  <w:num w:numId="2" w16cid:durableId="1256785210">
    <w:abstractNumId w:val="5"/>
  </w:num>
  <w:num w:numId="3" w16cid:durableId="53623562">
    <w:abstractNumId w:val="6"/>
  </w:num>
  <w:num w:numId="4" w16cid:durableId="1916236568">
    <w:abstractNumId w:val="1"/>
  </w:num>
  <w:num w:numId="5" w16cid:durableId="2059238653">
    <w:abstractNumId w:val="4"/>
  </w:num>
  <w:num w:numId="6" w16cid:durableId="1260944665">
    <w:abstractNumId w:val="0"/>
  </w:num>
  <w:num w:numId="7" w16cid:durableId="1772166821">
    <w:abstractNumId w:val="2"/>
  </w:num>
  <w:num w:numId="8" w16cid:durableId="1525165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1103D"/>
    <w:rsid w:val="00027298"/>
    <w:rsid w:val="00043B69"/>
    <w:rsid w:val="00067817"/>
    <w:rsid w:val="00074A9E"/>
    <w:rsid w:val="00080D2A"/>
    <w:rsid w:val="000A6EDE"/>
    <w:rsid w:val="000D6719"/>
    <w:rsid w:val="000E5FA1"/>
    <w:rsid w:val="000E6113"/>
    <w:rsid w:val="000F06A5"/>
    <w:rsid w:val="00104674"/>
    <w:rsid w:val="001055D1"/>
    <w:rsid w:val="001163C4"/>
    <w:rsid w:val="00120FFD"/>
    <w:rsid w:val="001220CC"/>
    <w:rsid w:val="00125543"/>
    <w:rsid w:val="00126086"/>
    <w:rsid w:val="001A50C7"/>
    <w:rsid w:val="001C1DB6"/>
    <w:rsid w:val="001C5C13"/>
    <w:rsid w:val="001C764A"/>
    <w:rsid w:val="001E38DF"/>
    <w:rsid w:val="001F062A"/>
    <w:rsid w:val="00216C96"/>
    <w:rsid w:val="00222A92"/>
    <w:rsid w:val="0023412B"/>
    <w:rsid w:val="00245B05"/>
    <w:rsid w:val="0025436E"/>
    <w:rsid w:val="00254C8C"/>
    <w:rsid w:val="00255BA5"/>
    <w:rsid w:val="00256DE4"/>
    <w:rsid w:val="002629B1"/>
    <w:rsid w:val="002641F7"/>
    <w:rsid w:val="002643D8"/>
    <w:rsid w:val="00291A6C"/>
    <w:rsid w:val="0029377C"/>
    <w:rsid w:val="002B4AA0"/>
    <w:rsid w:val="002B59D7"/>
    <w:rsid w:val="002E4337"/>
    <w:rsid w:val="003045AC"/>
    <w:rsid w:val="0030664F"/>
    <w:rsid w:val="00320871"/>
    <w:rsid w:val="00370606"/>
    <w:rsid w:val="00380C79"/>
    <w:rsid w:val="003976E9"/>
    <w:rsid w:val="003C2B6A"/>
    <w:rsid w:val="003E59CD"/>
    <w:rsid w:val="003E5B17"/>
    <w:rsid w:val="00410A97"/>
    <w:rsid w:val="00416BB6"/>
    <w:rsid w:val="00420AB8"/>
    <w:rsid w:val="00420C85"/>
    <w:rsid w:val="004258DE"/>
    <w:rsid w:val="004267C2"/>
    <w:rsid w:val="004671A7"/>
    <w:rsid w:val="004874CA"/>
    <w:rsid w:val="004B2D5F"/>
    <w:rsid w:val="004B7172"/>
    <w:rsid w:val="005128FF"/>
    <w:rsid w:val="00521615"/>
    <w:rsid w:val="005446AC"/>
    <w:rsid w:val="005459CE"/>
    <w:rsid w:val="005645CD"/>
    <w:rsid w:val="00573459"/>
    <w:rsid w:val="00595663"/>
    <w:rsid w:val="005C59E6"/>
    <w:rsid w:val="005D0588"/>
    <w:rsid w:val="005E5A18"/>
    <w:rsid w:val="006247FA"/>
    <w:rsid w:val="006450EA"/>
    <w:rsid w:val="0068525F"/>
    <w:rsid w:val="006913B9"/>
    <w:rsid w:val="00693785"/>
    <w:rsid w:val="00697692"/>
    <w:rsid w:val="006979FC"/>
    <w:rsid w:val="006E4E1D"/>
    <w:rsid w:val="006E4EA8"/>
    <w:rsid w:val="006F3496"/>
    <w:rsid w:val="006F6CD3"/>
    <w:rsid w:val="00705B2C"/>
    <w:rsid w:val="00713726"/>
    <w:rsid w:val="0072133C"/>
    <w:rsid w:val="0072697D"/>
    <w:rsid w:val="0073131F"/>
    <w:rsid w:val="00756C2A"/>
    <w:rsid w:val="00762A0A"/>
    <w:rsid w:val="00767C55"/>
    <w:rsid w:val="00794D39"/>
    <w:rsid w:val="007B25A0"/>
    <w:rsid w:val="007D0B9F"/>
    <w:rsid w:val="007D1144"/>
    <w:rsid w:val="00820B15"/>
    <w:rsid w:val="0083396C"/>
    <w:rsid w:val="00836363"/>
    <w:rsid w:val="0089189C"/>
    <w:rsid w:val="008945ED"/>
    <w:rsid w:val="008A3B00"/>
    <w:rsid w:val="008B0FA9"/>
    <w:rsid w:val="008B696B"/>
    <w:rsid w:val="008D2F10"/>
    <w:rsid w:val="008E6206"/>
    <w:rsid w:val="008F6756"/>
    <w:rsid w:val="00934CAF"/>
    <w:rsid w:val="0093697A"/>
    <w:rsid w:val="0094041B"/>
    <w:rsid w:val="009539CC"/>
    <w:rsid w:val="00977F8B"/>
    <w:rsid w:val="009C6F7E"/>
    <w:rsid w:val="009E0550"/>
    <w:rsid w:val="009F723C"/>
    <w:rsid w:val="00A129DD"/>
    <w:rsid w:val="00A451F8"/>
    <w:rsid w:val="00A523B5"/>
    <w:rsid w:val="00A52D49"/>
    <w:rsid w:val="00A91D8A"/>
    <w:rsid w:val="00AA22D2"/>
    <w:rsid w:val="00AB5E1A"/>
    <w:rsid w:val="00AD4F7C"/>
    <w:rsid w:val="00B016B9"/>
    <w:rsid w:val="00B4416C"/>
    <w:rsid w:val="00B6581E"/>
    <w:rsid w:val="00BA3F1F"/>
    <w:rsid w:val="00BC2009"/>
    <w:rsid w:val="00BC6B46"/>
    <w:rsid w:val="00BE196D"/>
    <w:rsid w:val="00BE771A"/>
    <w:rsid w:val="00C00C9F"/>
    <w:rsid w:val="00C53D94"/>
    <w:rsid w:val="00C808BB"/>
    <w:rsid w:val="00C879E3"/>
    <w:rsid w:val="00CA5A38"/>
    <w:rsid w:val="00CA5F92"/>
    <w:rsid w:val="00CD7E24"/>
    <w:rsid w:val="00D033C4"/>
    <w:rsid w:val="00D45DF4"/>
    <w:rsid w:val="00D54C77"/>
    <w:rsid w:val="00D55C63"/>
    <w:rsid w:val="00D66679"/>
    <w:rsid w:val="00D70C61"/>
    <w:rsid w:val="00D74AAD"/>
    <w:rsid w:val="00D9732A"/>
    <w:rsid w:val="00DA111A"/>
    <w:rsid w:val="00DA266A"/>
    <w:rsid w:val="00DC16FE"/>
    <w:rsid w:val="00DC4954"/>
    <w:rsid w:val="00DE3838"/>
    <w:rsid w:val="00DE7494"/>
    <w:rsid w:val="00E1745B"/>
    <w:rsid w:val="00E36E0B"/>
    <w:rsid w:val="00E5191B"/>
    <w:rsid w:val="00E519BD"/>
    <w:rsid w:val="00E538CD"/>
    <w:rsid w:val="00E67642"/>
    <w:rsid w:val="00E76E3F"/>
    <w:rsid w:val="00E83C8F"/>
    <w:rsid w:val="00E94656"/>
    <w:rsid w:val="00E9484E"/>
    <w:rsid w:val="00EB2537"/>
    <w:rsid w:val="00EC1A78"/>
    <w:rsid w:val="00ED39C9"/>
    <w:rsid w:val="00EE063E"/>
    <w:rsid w:val="00EE6CC6"/>
    <w:rsid w:val="00F05F8A"/>
    <w:rsid w:val="00F27620"/>
    <w:rsid w:val="00F45710"/>
    <w:rsid w:val="00F75FD1"/>
    <w:rsid w:val="00F873A1"/>
    <w:rsid w:val="00FB309B"/>
    <w:rsid w:val="00FB5320"/>
    <w:rsid w:val="00FB7FD7"/>
    <w:rsid w:val="00FC06A6"/>
    <w:rsid w:val="00FE2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11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43591512">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researchgate.net/publication/374998929_Impact_of_Virtual_Reality_Vr_and_Augmented_Reality_Ar_in_Education" TargetMode="External"/><Relationship Id="rId18" Type="http://schemas.openxmlformats.org/officeDocument/2006/relationships/hyperlink" Target="https://www.researchgate.net/publication/358831772_Trends_in_the_Use_of_Augmented_Reality_Virtual_Reality_and_Mixed_Reality_in_Surgical_Research_a_Global_Bibliometric_and_Visualized_Analysi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researchgate.net/publication/370676159_Analyzing_augmented_reality_AR_and_virtual_reality_VR_recent_development_in_education" TargetMode="External"/><Relationship Id="rId17" Type="http://schemas.openxmlformats.org/officeDocument/2006/relationships/hyperlink" Target="https://www.researchgate.net/publication/374910266_The_Impact_of_Virtual_Reality_Technology_on_Student_Engagement_and_Learning_Outcomes_in_Higher_Education" TargetMode="External"/><Relationship Id="rId2" Type="http://schemas.openxmlformats.org/officeDocument/2006/relationships/numbering" Target="numbering.xml"/><Relationship Id="rId16" Type="http://schemas.openxmlformats.org/officeDocument/2006/relationships/hyperlink" Target="https://www.researchgate.net/publication/323916650_VR_and_AR_Applications_in_Medical_Practice_and_Edu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ink.springer.com/article/10.1007/s12262-021-03243-w"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pubmed.ncbi.nlm.nih.gov/34400451/" TargetMode="External"/><Relationship Id="rId10" Type="http://schemas.openxmlformats.org/officeDocument/2006/relationships/chart" Target="charts/chart3.xml"/><Relationship Id="rId19" Type="http://schemas.openxmlformats.org/officeDocument/2006/relationships/hyperlink" Target="https://financesonline.com/virtual-reality-statistics/"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researchgate.net/publication/349389668_Virtual_Reality_for_Pilot_Training_Study_of_Cardiac_Activit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Dee21</b:Tag>
    <b:SourceType>JournalArticle</b:SourceType>
    <b:Guid>{48FEF678-3C5C-42CE-9F7D-F83356A7E9C3}</b:Guid>
    <b:Author>
      <b:Author>
        <b:NameList>
          <b:Person>
            <b:Last>Kirti</b:Last>
            <b:First>Deepika</b:First>
          </b:Person>
        </b:NameList>
      </b:Author>
    </b:Author>
    <b:Title>Review work</b:Title>
    <b:JournalName>IEEE</b:JournalName>
    <b:Year>2021</b:Year>
    <b:Pages>22-24</b:Pages>
    <b:RefOrder>1</b:RefOrder>
  </b:Source>
</b:Sources>
</file>

<file path=customXml/itemProps1.xml><?xml version="1.0" encoding="utf-8"?>
<ds:datastoreItem xmlns:ds="http://schemas.openxmlformats.org/officeDocument/2006/customXml" ds:itemID="{2BFF2BCD-60CD-4FD9-9A06-FD69C5D3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3410</TotalTime>
  <Pages>12</Pages>
  <Words>2849</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111</cp:revision>
  <dcterms:created xsi:type="dcterms:W3CDTF">2024-03-16T12:22:00Z</dcterms:created>
  <dcterms:modified xsi:type="dcterms:W3CDTF">2024-04-18T14:37:00Z</dcterms:modified>
</cp:coreProperties>
</file>