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77777777" w:rsidR="003E59CD"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Ankit Alex Minz, Dibya Bharat Khatua</w:t>
      </w:r>
    </w:p>
    <w:p w14:paraId="32831949" w14:textId="4B14E62E"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BCA</w:t>
      </w:r>
      <w:r w:rsidR="003E59CD">
        <w:rPr>
          <w:rFonts w:ascii="Times New Roman" w:eastAsia="Times New Roman" w:hAnsi="Times New Roman" w:cs="Times New Roman"/>
        </w:rPr>
        <w:t>, BTTS, IPU, Delhi, India</w:t>
      </w:r>
      <w:r w:rsidR="003E59CD">
        <w:rPr>
          <w:rFonts w:ascii="Times New Roman" w:eastAsia="Times New Roman" w:hAnsi="Times New Roman" w:cs="Times New Roman"/>
          <w:vertAlign w:val="superscript"/>
        </w:rPr>
        <w:t>,</w:t>
      </w:r>
      <w:r>
        <w:rPr>
          <w:rFonts w:ascii="Times New Roman" w:eastAsia="Times New Roman" w:hAnsi="Times New Roman" w:cs="Times New Roman"/>
        </w:rPr>
        <w:t xml:space="preserve"> BCA</w:t>
      </w:r>
      <w:r w:rsidR="003E59CD">
        <w:rPr>
          <w:rFonts w:ascii="Times New Roman" w:eastAsia="Times New Roman" w:hAnsi="Times New Roman" w:cs="Times New Roman"/>
        </w:rPr>
        <w:t>, BTTS, IPU, Delhi, India</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2533C2C9" w14:textId="0B291E76" w:rsidR="006913B9" w:rsidRPr="00420C85" w:rsidRDefault="007B25A0"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420C85">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420C85">
        <w:rPr>
          <w:rFonts w:ascii="Times New Roman" w:hAnsi="Times New Roman" w:cs="Times New Roman"/>
          <w:sz w:val="24"/>
          <w:szCs w:val="24"/>
          <w:lang w:val="en-US"/>
        </w:rPr>
        <w:t xml:space="preserve"> </w:t>
      </w:r>
      <w:r w:rsidR="00A91D8A" w:rsidRPr="00420C85">
        <w:rPr>
          <w:rFonts w:ascii="Times New Roman" w:hAnsi="Times New Roman" w:cs="Times New Roman"/>
          <w:sz w:val="24"/>
          <w:szCs w:val="24"/>
          <w:lang w:val="en-US"/>
        </w:rPr>
        <w:t xml:space="preserve">In this </w:t>
      </w:r>
      <w:r w:rsidR="002B4AA0" w:rsidRPr="00420C85">
        <w:rPr>
          <w:rFonts w:ascii="Times New Roman" w:hAnsi="Times New Roman" w:cs="Times New Roman"/>
          <w:sz w:val="24"/>
          <w:szCs w:val="24"/>
          <w:lang w:val="en-US"/>
        </w:rPr>
        <w:t>research paper we</w:t>
      </w:r>
      <w:r w:rsidR="00A91D8A" w:rsidRPr="00420C85">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420C85">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283AD532" w14:textId="3B5FB06C" w:rsidR="00126086" w:rsidRPr="00420C85" w:rsidRDefault="0012608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77777777" w:rsidR="00420C85" w:rsidRDefault="00420C85" w:rsidP="00420C85">
      <w:pPr>
        <w:spacing w:line="360" w:lineRule="auto"/>
        <w:jc w:val="both"/>
        <w:rPr>
          <w:rFonts w:ascii="Times New Roman" w:eastAsia="Times New Roman" w:hAnsi="Times New Roman" w:cs="Times New Roman"/>
          <w:kern w:val="0"/>
          <w:sz w:val="24"/>
          <w:szCs w:val="24"/>
          <w:lang w:eastAsia="en-IN"/>
          <w14:ligatures w14:val="none"/>
        </w:rPr>
      </w:pPr>
      <w:r w:rsidRPr="00420C85">
        <w:rPr>
          <w:rFonts w:ascii="Times New Roman" w:eastAsia="Times New Roman" w:hAnsi="Times New Roman" w:cs="Times New Roman"/>
          <w:kern w:val="0"/>
          <w:sz w:val="24"/>
          <w:szCs w:val="24"/>
          <w:lang w:eastAsia="en-IN"/>
          <w14:ligatures w14:val="none"/>
        </w:rPr>
        <w:t>Augmented Reality (AR) enriches the real-world environment by overlaying digital information onto it, enhancing various activities such as gaming, product visualization, marketing, architecture, and education. Utilizing human senses like sight, sound, and touch, AR combines computer-generated data with reality via hardware and software. Its versatility extends to metaverse implementations and corporate applications, contributing to the growing trend of immersive computer experiences.</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7777777" w:rsidR="001A50C7" w:rsidRDefault="001A50C7" w:rsidP="00420C85">
      <w:pPr>
        <w:spacing w:line="360" w:lineRule="auto"/>
        <w:jc w:val="both"/>
        <w:rPr>
          <w:rFonts w:ascii="Times New Roman" w:hAnsi="Times New Roman" w:cs="Times New Roman"/>
          <w:sz w:val="24"/>
          <w:szCs w:val="24"/>
        </w:rPr>
      </w:pPr>
      <w:r w:rsidRPr="001A50C7">
        <w:rPr>
          <w:rFonts w:ascii="Times New Roman" w:hAnsi="Times New Roman" w:cs="Times New Roman"/>
          <w:sz w:val="24"/>
          <w:szCs w:val="24"/>
        </w:rPr>
        <w:t xml:space="preserve">VR involves simulating 3D environments that users can explore and interact with, either replicating reality or creating entirely fictional worlds. It relies on specialized hardware and software, such as helmets and goggles, to immerse users in virtual environments. The goal of </w:t>
      </w:r>
      <w:r w:rsidRPr="001A50C7">
        <w:rPr>
          <w:rFonts w:ascii="Times New Roman" w:hAnsi="Times New Roman" w:cs="Times New Roman"/>
          <w:sz w:val="24"/>
          <w:szCs w:val="24"/>
        </w:rPr>
        <w:lastRenderedPageBreak/>
        <w:t>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5BB0DEF2" w:rsidR="00934CAF" w:rsidRPr="00420C85" w:rsidRDefault="001A50C7" w:rsidP="00420C85">
      <w:pPr>
        <w:spacing w:line="360" w:lineRule="auto"/>
        <w:jc w:val="both"/>
        <w:rPr>
          <w:rFonts w:ascii="Times New Roman" w:hAnsi="Times New Roman" w:cs="Times New Roman"/>
          <w:sz w:val="24"/>
          <w:szCs w:val="24"/>
          <w:lang w:val="en-US"/>
        </w:rPr>
      </w:pPr>
      <w:r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 These technologies have been instrumental in providing simulated surgical training and emergency scenario training</w:t>
      </w:r>
      <w:r>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1CD20606"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 The market size for VR headsets</w:t>
      </w:r>
      <w:r>
        <w:rPr>
          <w:rFonts w:ascii="Times New Roman" w:hAnsi="Times New Roman" w:cs="Times New Roman"/>
          <w:sz w:val="24"/>
          <w:szCs w:val="24"/>
        </w:rPr>
        <w:t xml:space="preserve"> </w:t>
      </w:r>
      <w:r w:rsidRPr="00836363">
        <w:rPr>
          <w:rFonts w:ascii="Times New Roman" w:hAnsi="Times New Roman" w:cs="Times New Roman"/>
          <w:sz w:val="24"/>
          <w:szCs w:val="24"/>
        </w:rPr>
        <w:t>projected to reach $50 billion by 2024</w:t>
      </w:r>
      <w:r>
        <w:rPr>
          <w:rFonts w:ascii="Times New Roman" w:hAnsi="Times New Roman" w:cs="Times New Roman"/>
          <w:sz w:val="24"/>
          <w:szCs w:val="24"/>
        </w:rPr>
        <w:t xml:space="preserve"> and</w:t>
      </w:r>
      <w:r w:rsidRPr="00836363">
        <w:rPr>
          <w:rFonts w:ascii="Times New Roman" w:hAnsi="Times New Roman" w:cs="Times New Roman"/>
          <w:sz w:val="24"/>
          <w:szCs w:val="24"/>
        </w:rPr>
        <w:t xml:space="preserve"> is expected to reach $18.6 billion by 2026, while the AR market is Industries in the creative economy, such as gaming, live events, video entertainment, and retail, are leading the demand for AR/VR technology. Various sectors, including education, healthcare, retail, and real estate, are increasingly employing AR/VR technologies to enhance customer experiences and provide innovative solutions.</w:t>
      </w:r>
    </w:p>
    <w:p w14:paraId="5C467F4A" w14:textId="77777777"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AR/VR technologies are widely adopted across industries, from gaming and consumer goods to education and healthcare. Popular applications and software include OSSOVR, PokemonGo for gaming, Tilt Brush for painting, Enscape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Toyota’s TeenDrive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lastRenderedPageBreak/>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6329727A"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0E305CDF"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5C55271B"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Patrice Labedan</w:t>
            </w:r>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46A8E883"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7DEECC3F"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47501E7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6B59AAB5"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420C85" w:rsidRDefault="00000000" w:rsidP="00AD4F7C">
            <w:pPr>
              <w:keepNext/>
              <w:jc w:val="both"/>
              <w:rPr>
                <w:rFonts w:ascii="Times New Roman" w:hAnsi="Times New Roman" w:cs="Times New Roman"/>
                <w:sz w:val="24"/>
                <w:szCs w:val="24"/>
                <w:lang w:val="en-US"/>
              </w:rPr>
            </w:pPr>
            <w:hyperlink r:id="rId5" w:tgtFrame="_blank" w:history="1">
              <w:r w:rsidR="00BC2009" w:rsidRPr="00420C85">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420C85">
              <w:rPr>
                <w:rFonts w:ascii="Times New Roman" w:hAnsi="Times New Roman" w:cs="Times New Roman"/>
                <w:sz w:val="24"/>
                <w:szCs w:val="24"/>
                <w:lang w:val="en-US"/>
              </w:rPr>
              <w:t xml:space="preserve"> increased globally</w:t>
            </w:r>
          </w:p>
        </w:tc>
      </w:tr>
    </w:tbl>
    <w:p w14:paraId="5F84B0C8" w14:textId="7B27A413" w:rsidR="00BC2009" w:rsidRPr="00420C85" w:rsidRDefault="00AD4F7C" w:rsidP="00AD4F7C">
      <w:pPr>
        <w:pStyle w:val="Caption"/>
        <w:rPr>
          <w:rFonts w:ascii="Times New Roman" w:hAnsi="Times New Roman" w:cs="Times New Roman"/>
          <w:sz w:val="24"/>
          <w:szCs w:val="24"/>
          <w:lang w:val="en-US"/>
        </w:rPr>
      </w:pPr>
      <w:r>
        <w:t xml:space="preserve">                                                                                References for related works</w:t>
      </w:r>
    </w:p>
    <w:p w14:paraId="77A8ABA5" w14:textId="7D0D140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BC2009" w:rsidRPr="00420C85">
        <w:rPr>
          <w:rFonts w:ascii="Times New Roman" w:hAnsi="Times New Roman" w:cs="Times New Roman"/>
          <w:b/>
          <w:bCs/>
          <w:sz w:val="24"/>
          <w:szCs w:val="24"/>
        </w:rPr>
        <w:t xml:space="preserve"> </w:t>
      </w:r>
      <w:r w:rsidR="00D74AAD" w:rsidRPr="00420C85">
        <w:rPr>
          <w:rFonts w:ascii="Times New Roman" w:hAnsi="Times New Roman" w:cs="Times New Roman"/>
          <w:b/>
          <w:bCs/>
          <w:sz w:val="24"/>
          <w:szCs w:val="24"/>
        </w:rPr>
        <w:t>et al.</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A Udaya Shankar</w:t>
      </w:r>
      <w:r w:rsidRPr="00420C85">
        <w:rPr>
          <w:rFonts w:ascii="Times New Roman" w:hAnsi="Times New Roman" w:cs="Times New Roman"/>
          <w:b/>
          <w:bCs/>
          <w:sz w:val="24"/>
          <w:szCs w:val="24"/>
        </w:rPr>
        <w:t xml:space="preserve"> et al.</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Pr="00420C85">
        <w:rPr>
          <w:rFonts w:ascii="Times New Roman" w:hAnsi="Times New Roman" w:cs="Times New Roman"/>
          <w:b/>
          <w:bCs/>
          <w:sz w:val="24"/>
          <w:szCs w:val="24"/>
        </w:rPr>
        <w:t>et al.</w:t>
      </w:r>
      <w:r w:rsidRPr="00420C85">
        <w:rPr>
          <w:rFonts w:ascii="Times New Roman" w:hAnsi="Times New Roman" w:cs="Times New Roman"/>
          <w:sz w:val="24"/>
          <w:szCs w:val="24"/>
        </w:rPr>
        <w:t> </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Zain </w:t>
      </w:r>
      <w:r w:rsidRPr="00420C85">
        <w:rPr>
          <w:rFonts w:ascii="Times New Roman" w:hAnsi="Times New Roman" w:cs="Times New Roman"/>
          <w:b/>
          <w:bCs/>
          <w:sz w:val="24"/>
          <w:szCs w:val="24"/>
        </w:rPr>
        <w:t>et al.</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Min-Chai</w:t>
      </w:r>
      <w:r w:rsidR="00EE6CC6" w:rsidRPr="00420C85">
        <w:rPr>
          <w:rFonts w:ascii="Times New Roman" w:hAnsi="Times New Roman" w:cs="Times New Roman"/>
          <w:b/>
          <w:bCs/>
          <w:sz w:val="24"/>
          <w:szCs w:val="24"/>
        </w:rPr>
        <w:t xml:space="preserve"> et al.</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İbrahim </w:t>
      </w:r>
      <w:r w:rsidR="00EE6CC6" w:rsidRPr="00420C85">
        <w:rPr>
          <w:rFonts w:ascii="Times New Roman" w:hAnsi="Times New Roman" w:cs="Times New Roman"/>
          <w:b/>
          <w:bCs/>
          <w:sz w:val="24"/>
          <w:szCs w:val="24"/>
        </w:rPr>
        <w:t>et al.</w:t>
      </w:r>
      <w:r w:rsidR="00BC2009" w:rsidRPr="00420C85">
        <w:rPr>
          <w:rFonts w:ascii="Times New Roman" w:hAnsi="Times New Roman" w:cs="Times New Roman"/>
          <w:sz w:val="24"/>
          <w:szCs w:val="24"/>
        </w:rPr>
        <w:t xml:space="preserve"> performed data analysis on the engagement of AR and VR in higher studies. The findings showed that VR’s adaptability and potential for personalized learning </w:t>
      </w:r>
      <w:r w:rsidR="00BC2009" w:rsidRPr="00420C85">
        <w:rPr>
          <w:rFonts w:ascii="Times New Roman" w:hAnsi="Times New Roman" w:cs="Times New Roman"/>
          <w:sz w:val="24"/>
          <w:szCs w:val="24"/>
        </w:rPr>
        <w:lastRenderedPageBreak/>
        <w:t>experiences contribute to more efficient and effective learning. Lastly, </w:t>
      </w:r>
      <w:r w:rsidR="00BC2009" w:rsidRPr="00420C85">
        <w:rPr>
          <w:rFonts w:ascii="Times New Roman" w:hAnsi="Times New Roman" w:cs="Times New Roman"/>
          <w:b/>
          <w:bCs/>
          <w:sz w:val="24"/>
          <w:szCs w:val="24"/>
        </w:rPr>
        <w:t xml:space="preserve">Jing </w:t>
      </w:r>
      <w:r w:rsidR="00EE6CC6" w:rsidRPr="00420C85">
        <w:rPr>
          <w:rFonts w:ascii="Times New Roman" w:hAnsi="Times New Roman" w:cs="Times New Roman"/>
          <w:b/>
          <w:bCs/>
          <w:sz w:val="24"/>
          <w:szCs w:val="24"/>
        </w:rPr>
        <w:t>et al.</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10C3DA08" w14:textId="79E1BDC0"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p w14:paraId="7D76AFF7" w14:textId="77777777" w:rsidR="001C5C13" w:rsidRPr="00420C85" w:rsidRDefault="00120FFD"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7A81D4D5" wp14:editId="54C697E4">
            <wp:extent cx="5715000" cy="3430520"/>
            <wp:effectExtent l="0" t="0" r="0" b="0"/>
            <wp:docPr id="8073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28514" name=""/>
                    <pic:cNvPicPr/>
                  </pic:nvPicPr>
                  <pic:blipFill>
                    <a:blip r:embed="rId6"/>
                    <a:stretch>
                      <a:fillRect/>
                    </a:stretch>
                  </pic:blipFill>
                  <pic:spPr>
                    <a:xfrm>
                      <a:off x="0" y="0"/>
                      <a:ext cx="5937514" cy="3564088"/>
                    </a:xfrm>
                    <a:prstGeom prst="rect">
                      <a:avLst/>
                    </a:prstGeom>
                  </pic:spPr>
                </pic:pic>
              </a:graphicData>
            </a:graphic>
          </wp:inline>
        </w:drawing>
      </w:r>
    </w:p>
    <w:p w14:paraId="09FD239E" w14:textId="1E81A3BD" w:rsidR="00120FFD" w:rsidRPr="00AD4F7C" w:rsidRDefault="001C5C13" w:rsidP="00420C85">
      <w:pPr>
        <w:pStyle w:val="Caption"/>
        <w:jc w:val="both"/>
        <w:rPr>
          <w:rFonts w:ascii="Times New Roman" w:hAnsi="Times New Roman" w:cs="Times New Roman"/>
          <w:b/>
          <w:bCs/>
          <w:lang w:val="en-US"/>
        </w:rPr>
      </w:pP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B18261" w14:textId="4877B363"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Graph 1: Top 5 countries in terms of AR/VR penetration</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C0C15A" w14:textId="20314FD5"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5FE31B8B"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58B4075F">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910E07" w14:textId="75C8A8C4"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Pr="00AD4F7C">
        <w:rPr>
          <w:rFonts w:ascii="Times New Roman" w:hAnsi="Times New Roman" w:cs="Times New Roman"/>
        </w:rPr>
        <w:t>Market Size of AR/VR</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3A59CE2D"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AR and VR technologies are continuously reshaping multiple sectors, like education, healthcare, gaming, automotive, engineering, military, manufacturing and entertainment. Throughout all fields it can be said that immersiveness is the common attraction, as the AR/VR technologies allow the simulation of various things with good accuracy, allowing people to gain experience without experiencing those situations in reality. In learning and 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713E340E" w14:textId="744AD1CF" w:rsidR="005C59E6" w:rsidRDefault="00AD4F7C" w:rsidP="00AD4F7C">
      <w:pPr>
        <w:pStyle w:val="Caption"/>
        <w:rPr>
          <w:rFonts w:ascii="Times New Roman" w:hAnsi="Times New Roman" w:cs="Times New Roman"/>
          <w:b/>
          <w:bCs/>
          <w:sz w:val="24"/>
          <w:szCs w:val="24"/>
        </w:rPr>
      </w:pPr>
      <w:r>
        <w:t xml:space="preserve">                                                                       Benefits and uses of AR/VR in various fields</w:t>
      </w:r>
    </w:p>
    <w:p w14:paraId="40CD44FE" w14:textId="77777777" w:rsidR="005C59E6" w:rsidRDefault="0029377C"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H</w:t>
      </w:r>
      <w:r w:rsidR="00D66679" w:rsidRPr="00420C85">
        <w:rPr>
          <w:rFonts w:ascii="Times New Roman" w:hAnsi="Times New Roman" w:cs="Times New Roman"/>
          <w:b/>
          <w:bCs/>
          <w:sz w:val="24"/>
          <w:szCs w:val="24"/>
        </w:rPr>
        <w:t>ypothesis</w:t>
      </w:r>
      <w:r w:rsidR="005C59E6">
        <w:rPr>
          <w:rFonts w:ascii="Times New Roman" w:hAnsi="Times New Roman" w:cs="Times New Roman"/>
          <w:b/>
          <w:bCs/>
          <w:sz w:val="24"/>
          <w:szCs w:val="24"/>
        </w:rPr>
        <w:t xml:space="preserve"> 2</w:t>
      </w:r>
    </w:p>
    <w:p w14:paraId="26AC5203" w14:textId="535D63DF"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Spatial computing integrates virtual content seamlessly into the physical world, enhancing user immersion and interaction in AR/VR applications. This technology enables accurate mapping and overlay of virtual content onto the user's environment, boosting intuitiveness and opening up possibilities for improved productivity, visualization, gaming, and education.</w:t>
      </w:r>
    </w:p>
    <w:p w14:paraId="3C9F7A49" w14:textId="7E91490C" w:rsidR="00D66679"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lastRenderedPageBreak/>
        <w:t xml:space="preserve">Emotion recognition in VR utilizes biometric sensors and machine learning algorithms to analyze users' expressions and gestures, enhancing emotional engagement and personalization in virtual experiences. This technology dynamically adjusts content based on users' emotional states, improving communication, therapy, and training applications. </w:t>
      </w:r>
    </w:p>
    <w:p w14:paraId="00F94B82"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Haptic feedback technologies simulate tactile sensations in AR/VR environments, allowing users to feel and interact with virtual objects realistically, enhancing simulations, gaming experiences, and medical applications. </w:t>
      </w:r>
    </w:p>
    <w:p w14:paraId="3E52FB2E" w14:textId="1DDC9C18" w:rsidR="009539CC" w:rsidRPr="005C59E6"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070E0E9F"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p>
    <w:tbl>
      <w:tblPr>
        <w:tblStyle w:val="TableGrid"/>
        <w:tblW w:w="9747" w:type="dxa"/>
        <w:tblLayout w:type="fixed"/>
        <w:tblLook w:val="04A0" w:firstRow="1" w:lastRow="0" w:firstColumn="1" w:lastColumn="0" w:noHBand="0" w:noVBand="1"/>
      </w:tblPr>
      <w:tblGrid>
        <w:gridCol w:w="1384"/>
        <w:gridCol w:w="1559"/>
        <w:gridCol w:w="1985"/>
        <w:gridCol w:w="1701"/>
        <w:gridCol w:w="1701"/>
        <w:gridCol w:w="1417"/>
      </w:tblGrid>
      <w:tr w:rsidR="005C59E6" w:rsidRPr="00420C85" w14:paraId="3CAB3E1D" w14:textId="77777777" w:rsidTr="007D1144">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559" w:type="dxa"/>
          </w:tcPr>
          <w:p w14:paraId="13B616FC"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ARkit</w:t>
            </w:r>
          </w:p>
        </w:tc>
        <w:tc>
          <w:tcPr>
            <w:tcW w:w="1985" w:type="dxa"/>
          </w:tcPr>
          <w:p w14:paraId="4B9C6D0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Google ARcore</w:t>
            </w:r>
          </w:p>
        </w:tc>
        <w:tc>
          <w:tcPr>
            <w:tcW w:w="1701" w:type="dxa"/>
          </w:tcPr>
          <w:p w14:paraId="4B0EA6B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quest</w:t>
            </w:r>
          </w:p>
        </w:tc>
        <w:tc>
          <w:tcPr>
            <w:tcW w:w="1701" w:type="dxa"/>
          </w:tcPr>
          <w:p w14:paraId="0C1D9A4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HTC Vive</w:t>
            </w:r>
          </w:p>
        </w:tc>
        <w:tc>
          <w:tcPr>
            <w:tcW w:w="1417" w:type="dxa"/>
          </w:tcPr>
          <w:p w14:paraId="66B4AF0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Sony Playstation</w:t>
            </w:r>
          </w:p>
        </w:tc>
      </w:tr>
      <w:tr w:rsidR="005C59E6" w:rsidRPr="00420C85" w14:paraId="34071245" w14:textId="77777777" w:rsidTr="007D1144">
        <w:trPr>
          <w:trHeight w:val="636"/>
        </w:trPr>
        <w:tc>
          <w:tcPr>
            <w:tcW w:w="1384" w:type="dxa"/>
          </w:tcPr>
          <w:p w14:paraId="107ABC9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Launched date</w:t>
            </w:r>
          </w:p>
        </w:tc>
        <w:tc>
          <w:tcPr>
            <w:tcW w:w="1559" w:type="dxa"/>
          </w:tcPr>
          <w:p w14:paraId="4FA1054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985" w:type="dxa"/>
          </w:tcPr>
          <w:p w14:paraId="6F555A2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701" w:type="dxa"/>
          </w:tcPr>
          <w:p w14:paraId="23E291B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417" w:type="dxa"/>
          </w:tcPr>
          <w:p w14:paraId="45FDC8A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7D1144">
        <w:trPr>
          <w:trHeight w:val="636"/>
        </w:trPr>
        <w:tc>
          <w:tcPr>
            <w:tcW w:w="1384" w:type="dxa"/>
          </w:tcPr>
          <w:p w14:paraId="0E54C0F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Developed by</w:t>
            </w:r>
          </w:p>
        </w:tc>
        <w:tc>
          <w:tcPr>
            <w:tcW w:w="1559" w:type="dxa"/>
          </w:tcPr>
          <w:p w14:paraId="647BFD7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Inc.</w:t>
            </w:r>
          </w:p>
        </w:tc>
        <w:tc>
          <w:tcPr>
            <w:tcW w:w="1985" w:type="dxa"/>
          </w:tcPr>
          <w:p w14:paraId="03B8162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701" w:type="dxa"/>
          </w:tcPr>
          <w:p w14:paraId="149862F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417" w:type="dxa"/>
          </w:tcPr>
          <w:p w14:paraId="351A893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7D1144">
        <w:trPr>
          <w:trHeight w:val="636"/>
        </w:trPr>
        <w:tc>
          <w:tcPr>
            <w:tcW w:w="1384" w:type="dxa"/>
          </w:tcPr>
          <w:p w14:paraId="0886D136"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Based on</w:t>
            </w:r>
          </w:p>
        </w:tc>
        <w:tc>
          <w:tcPr>
            <w:tcW w:w="1559" w:type="dxa"/>
          </w:tcPr>
          <w:p w14:paraId="3714C5F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985" w:type="dxa"/>
          </w:tcPr>
          <w:p w14:paraId="32FB0A7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701" w:type="dxa"/>
          </w:tcPr>
          <w:p w14:paraId="63CD557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VR( Virtual Reality)</w:t>
            </w:r>
          </w:p>
        </w:tc>
        <w:tc>
          <w:tcPr>
            <w:tcW w:w="1701" w:type="dxa"/>
          </w:tcPr>
          <w:p w14:paraId="575589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VR( Virtual Reality)</w:t>
            </w:r>
          </w:p>
        </w:tc>
        <w:tc>
          <w:tcPr>
            <w:tcW w:w="1417" w:type="dxa"/>
          </w:tcPr>
          <w:p w14:paraId="078BE58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VR( Virtual Reality)</w:t>
            </w:r>
          </w:p>
        </w:tc>
      </w:tr>
      <w:tr w:rsidR="005C59E6" w:rsidRPr="00420C85" w14:paraId="3E1D08C4" w14:textId="77777777" w:rsidTr="007D1144">
        <w:trPr>
          <w:trHeight w:val="673"/>
        </w:trPr>
        <w:tc>
          <w:tcPr>
            <w:tcW w:w="1384" w:type="dxa"/>
          </w:tcPr>
          <w:p w14:paraId="18E35F2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Features </w:t>
            </w:r>
          </w:p>
        </w:tc>
        <w:tc>
          <w:tcPr>
            <w:tcW w:w="1559" w:type="dxa"/>
          </w:tcPr>
          <w:p w14:paraId="65C6A626"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device motion tracking</w:t>
            </w:r>
          </w:p>
          <w:p w14:paraId="10E0DC1F"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world tracking</w:t>
            </w:r>
          </w:p>
          <w:p w14:paraId="1D693C59"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scene understanding</w:t>
            </w:r>
          </w:p>
          <w:p w14:paraId="693CE6D0"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985" w:type="dxa"/>
          </w:tcPr>
          <w:p w14:paraId="606FBA83"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 xml:space="preserve">Augmented </w:t>
            </w:r>
            <w:r w:rsidRPr="00420C85">
              <w:rPr>
                <w:rFonts w:ascii="Times New Roman" w:hAnsi="Times New Roman" w:cs="Times New Roman"/>
                <w:sz w:val="24"/>
                <w:szCs w:val="24"/>
              </w:rPr>
              <w:lastRenderedPageBreak/>
              <w:t>Images.</w:t>
            </w:r>
          </w:p>
          <w:p w14:paraId="211D42E0" w14:textId="77777777" w:rsidR="001C5C13" w:rsidRPr="00420C85" w:rsidRDefault="001C5C13" w:rsidP="00420C85">
            <w:pPr>
              <w:ind w:left="572"/>
              <w:jc w:val="both"/>
              <w:rPr>
                <w:rFonts w:ascii="Times New Roman" w:hAnsi="Times New Roman" w:cs="Times New Roman"/>
                <w:sz w:val="24"/>
                <w:szCs w:val="24"/>
              </w:rPr>
            </w:pPr>
          </w:p>
        </w:tc>
        <w:tc>
          <w:tcPr>
            <w:tcW w:w="1701" w:type="dxa"/>
          </w:tcPr>
          <w:p w14:paraId="7A9B3D80"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lastRenderedPageBreak/>
              <w:t>Boundary, Pass-through and Spatial Anchors</w:t>
            </w:r>
          </w:p>
          <w:p w14:paraId="30934532" w14:textId="6355E5CE"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420C85">
            <w:pPr>
              <w:jc w:val="both"/>
              <w:rPr>
                <w:rFonts w:ascii="Times New Roman" w:hAnsi="Times New Roman" w:cs="Times New Roman"/>
                <w:sz w:val="24"/>
                <w:szCs w:val="24"/>
              </w:rPr>
            </w:pPr>
          </w:p>
          <w:p w14:paraId="5C388882" w14:textId="77777777" w:rsidR="001C5C13" w:rsidRPr="00420C85" w:rsidRDefault="001C5C13" w:rsidP="00420C85">
            <w:pPr>
              <w:jc w:val="both"/>
              <w:rPr>
                <w:rFonts w:ascii="Times New Roman" w:hAnsi="Times New Roman" w:cs="Times New Roman"/>
                <w:sz w:val="24"/>
                <w:szCs w:val="24"/>
              </w:rPr>
            </w:pPr>
          </w:p>
          <w:p w14:paraId="7FD9C8C0" w14:textId="77777777" w:rsidR="001C5C13" w:rsidRPr="00420C85" w:rsidRDefault="001C5C13" w:rsidP="00420C85">
            <w:pPr>
              <w:jc w:val="both"/>
              <w:rPr>
                <w:rFonts w:ascii="Times New Roman" w:hAnsi="Times New Roman" w:cs="Times New Roman"/>
                <w:sz w:val="24"/>
                <w:szCs w:val="24"/>
              </w:rPr>
            </w:pPr>
          </w:p>
          <w:p w14:paraId="60F772AC" w14:textId="77777777" w:rsidR="001C5C13" w:rsidRPr="00420C85" w:rsidRDefault="001C5C13" w:rsidP="00420C85">
            <w:pPr>
              <w:jc w:val="both"/>
              <w:rPr>
                <w:rFonts w:ascii="Times New Roman" w:hAnsi="Times New Roman" w:cs="Times New Roman"/>
                <w:sz w:val="24"/>
                <w:szCs w:val="24"/>
              </w:rPr>
            </w:pPr>
          </w:p>
        </w:tc>
        <w:tc>
          <w:tcPr>
            <w:tcW w:w="1701" w:type="dxa"/>
          </w:tcPr>
          <w:p w14:paraId="0FF71351"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lastRenderedPageBreak/>
              <w:t>Eye tracking</w:t>
            </w:r>
          </w:p>
          <w:p w14:paraId="14ACD44F"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417" w:type="dxa"/>
          </w:tcPr>
          <w:p w14:paraId="17FED49F"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5.7 inch OLED panel</w:t>
            </w:r>
          </w:p>
          <w:p w14:paraId="262F8CE3"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 xml:space="preserve">360 degree </w:t>
            </w:r>
            <w:r w:rsidRPr="00420C85">
              <w:rPr>
                <w:rFonts w:ascii="Times New Roman" w:hAnsi="Times New Roman" w:cs="Times New Roman"/>
                <w:sz w:val="24"/>
                <w:szCs w:val="24"/>
              </w:rPr>
              <w:lastRenderedPageBreak/>
              <w:t>head movement</w:t>
            </w:r>
          </w:p>
        </w:tc>
      </w:tr>
      <w:tr w:rsidR="005C59E6" w:rsidRPr="00420C85" w14:paraId="4933383C" w14:textId="77777777" w:rsidTr="007D1144">
        <w:trPr>
          <w:trHeight w:val="636"/>
        </w:trPr>
        <w:tc>
          <w:tcPr>
            <w:tcW w:w="1384" w:type="dxa"/>
          </w:tcPr>
          <w:p w14:paraId="7AE62828"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lastRenderedPageBreak/>
              <w:t>Usage Area</w:t>
            </w:r>
          </w:p>
        </w:tc>
        <w:tc>
          <w:tcPr>
            <w:tcW w:w="1559" w:type="dxa"/>
          </w:tcPr>
          <w:p w14:paraId="6A9F886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MeasureKIt, jigshaw, kings of pool etc.</w:t>
            </w:r>
          </w:p>
        </w:tc>
        <w:tc>
          <w:tcPr>
            <w:tcW w:w="1985" w:type="dxa"/>
          </w:tcPr>
          <w:p w14:paraId="053FE93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Measureapp, INKHUNTER, Mole Catch AR, Beer Pong etc. </w:t>
            </w:r>
          </w:p>
        </w:tc>
        <w:tc>
          <w:tcPr>
            <w:tcW w:w="1701" w:type="dxa"/>
          </w:tcPr>
          <w:p w14:paraId="7FE21BF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701" w:type="dxa"/>
          </w:tcPr>
          <w:p w14:paraId="20570BA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417" w:type="dxa"/>
          </w:tcPr>
          <w:p w14:paraId="4665C4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7D1144">
        <w:trPr>
          <w:trHeight w:val="673"/>
        </w:trPr>
        <w:tc>
          <w:tcPr>
            <w:tcW w:w="1384" w:type="dxa"/>
          </w:tcPr>
          <w:p w14:paraId="4D0120C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Market Revenue</w:t>
            </w:r>
          </w:p>
        </w:tc>
        <w:tc>
          <w:tcPr>
            <w:tcW w:w="1559" w:type="dxa"/>
          </w:tcPr>
          <w:p w14:paraId="3F542B7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50.37 billion in 2023</w:t>
            </w:r>
          </w:p>
        </w:tc>
        <w:tc>
          <w:tcPr>
            <w:tcW w:w="1985" w:type="dxa"/>
          </w:tcPr>
          <w:p w14:paraId="1B15648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1.9 billion in 2023</w:t>
            </w:r>
          </w:p>
        </w:tc>
        <w:tc>
          <w:tcPr>
            <w:tcW w:w="1701" w:type="dxa"/>
          </w:tcPr>
          <w:p w14:paraId="65F034B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3 million</w:t>
            </w:r>
          </w:p>
        </w:tc>
        <w:tc>
          <w:tcPr>
            <w:tcW w:w="1417" w:type="dxa"/>
          </w:tcPr>
          <w:p w14:paraId="4B23036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25.96 billion</w:t>
            </w:r>
          </w:p>
        </w:tc>
      </w:tr>
      <w:tr w:rsidR="005C59E6" w:rsidRPr="00420C85" w14:paraId="1B09B0ED" w14:textId="77777777" w:rsidTr="007D1144">
        <w:trPr>
          <w:trHeight w:val="636"/>
        </w:trPr>
        <w:tc>
          <w:tcPr>
            <w:tcW w:w="1384" w:type="dxa"/>
          </w:tcPr>
          <w:p w14:paraId="671CA40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of Units Sold</w:t>
            </w:r>
          </w:p>
        </w:tc>
        <w:tc>
          <w:tcPr>
            <w:tcW w:w="1559" w:type="dxa"/>
          </w:tcPr>
          <w:p w14:paraId="50CC85F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985" w:type="dxa"/>
          </w:tcPr>
          <w:p w14:paraId="513C392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701" w:type="dxa"/>
          </w:tcPr>
          <w:p w14:paraId="622D3A1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million</w:t>
            </w:r>
          </w:p>
        </w:tc>
        <w:tc>
          <w:tcPr>
            <w:tcW w:w="1417" w:type="dxa"/>
          </w:tcPr>
          <w:p w14:paraId="7C1A610A" w14:textId="77777777" w:rsidR="001C5C13" w:rsidRPr="00420C85" w:rsidRDefault="001C5C13" w:rsidP="00AD4F7C">
            <w:pPr>
              <w:keepNext/>
              <w:jc w:val="both"/>
              <w:rPr>
                <w:rFonts w:ascii="Times New Roman" w:hAnsi="Times New Roman" w:cs="Times New Roman"/>
                <w:sz w:val="24"/>
                <w:szCs w:val="24"/>
              </w:rPr>
            </w:pPr>
            <w:r w:rsidRPr="00420C85">
              <w:rPr>
                <w:rFonts w:ascii="Times New Roman" w:hAnsi="Times New Roman" w:cs="Times New Roman"/>
                <w:sz w:val="24"/>
                <w:szCs w:val="24"/>
              </w:rPr>
              <w:t>50 million</w:t>
            </w:r>
          </w:p>
        </w:tc>
      </w:tr>
    </w:tbl>
    <w:p w14:paraId="0C0EEA46" w14:textId="7927AE8A" w:rsidR="00AD4F7C" w:rsidRDefault="00AD4F7C">
      <w:pPr>
        <w:pStyle w:val="Caption"/>
      </w:pPr>
      <w:r>
        <w:t xml:space="preserve">                                                                      Growing and famous Commercial AR/VR Products</w:t>
      </w:r>
    </w:p>
    <w:p w14:paraId="01F10C25" w14:textId="363C20BE"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7EABBEC1"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 and Future Scope</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495D07AB" w14:textId="6507D2A9"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The Apple Vision Pro, launched in February 2024, has swiftly become a viral sensation, setting new trends in the AR and VR industry. Users are enthusiastically sharing their experiences on social media, wearing the headset while engaged in various activities like running errands, working out, and even driving. The device offers a transformative experience, turning any room into a personal theatre with Spatial Audio, and features Apple's first 3D camera for capturing spatial photos and videos.</w:t>
      </w:r>
    </w:p>
    <w:p w14:paraId="10FBFC6C"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Despite its premium price and lower battery life, the Vision Pro saw a pre-order surge, with 180,000 units sold during the pre-order weekend. This reflects significant demand for high-quality AR/VR devices, with Apple leading the charge in meeting this demand. A low return rate of just 1% indicates that consumers are well-informed about the product's capabilities and are satisfied with their purchase decisions.</w:t>
      </w:r>
    </w:p>
    <w:p w14:paraId="2E0F71C9"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 xml:space="preserve">Looking ahead, the future scope of the Apple Vision Pro is promising. As AR and VR technologies advance, the device is poised to offer even more immersive and intuitive experiences. It has the potential to revolutionize various sectors, including education, </w:t>
      </w:r>
      <w:r w:rsidRPr="001E38DF">
        <w:rPr>
          <w:rFonts w:ascii="Times New Roman" w:hAnsi="Times New Roman" w:cs="Times New Roman"/>
          <w:sz w:val="24"/>
          <w:szCs w:val="24"/>
        </w:rPr>
        <w:lastRenderedPageBreak/>
        <w:t>healthcare, and entertainment, by providing interactive and engaging platforms for learning, working, and entertainment.</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ED66075" w14:textId="138EC1A9" w:rsidR="009539CC" w:rsidRPr="00420C85" w:rsidRDefault="00074A9E"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Future Scope:</w:t>
      </w:r>
    </w:p>
    <w:p w14:paraId="3C6767BD" w14:textId="66039A32" w:rsidR="009539CC" w:rsidRPr="00420C85" w:rsidRDefault="009539CC" w:rsidP="001E38DF">
      <w:pPr>
        <w:spacing w:line="360" w:lineRule="auto"/>
        <w:rPr>
          <w:rFonts w:ascii="Times New Roman" w:hAnsi="Times New Roman" w:cs="Times New Roman"/>
          <w:sz w:val="24"/>
          <w:szCs w:val="24"/>
          <w:lang w:val="en-US"/>
        </w:rPr>
      </w:pPr>
      <w:r w:rsidRPr="00420C85">
        <w:rPr>
          <w:rFonts w:ascii="Times New Roman" w:hAnsi="Times New Roman" w:cs="Times New Roman"/>
          <w:noProof/>
          <w:sz w:val="24"/>
          <w:szCs w:val="24"/>
        </w:rPr>
        <w:drawing>
          <wp:inline distT="0" distB="0" distL="0" distR="0" wp14:anchorId="333F5684" wp14:editId="61FEA43D">
            <wp:extent cx="3781425" cy="269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noFill/>
                    </a:ln>
                  </pic:spPr>
                </pic:pic>
              </a:graphicData>
            </a:graphic>
          </wp:inline>
        </w:drawing>
      </w:r>
    </w:p>
    <w:p w14:paraId="113F3DC7" w14:textId="77777777"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Healthcare ($5.1 billion), Engineering ($4.7 billion), Real Estate ($2.6 billion), Retail ($1.6 billion), Military ($1.4 billion), and Education ($0.7 billion).</w:t>
      </w:r>
    </w:p>
    <w:p w14:paraId="518BA683" w14:textId="4231A388" w:rsidR="00E538CD"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37D050C2" w14:textId="5ACBCCB2" w:rsidR="009539CC" w:rsidRPr="00420C85" w:rsidRDefault="00291A6C" w:rsidP="00291A6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824DD3F" w14:textId="00A2170E"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lastRenderedPageBreak/>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Pr="00420C85" w:rsidRDefault="00EE6CC6" w:rsidP="00420C85">
      <w:pPr>
        <w:spacing w:line="360" w:lineRule="auto"/>
        <w:jc w:val="both"/>
        <w:rPr>
          <w:rFonts w:ascii="Times New Roman" w:hAnsi="Times New Roman" w:cs="Times New Roman"/>
          <w:sz w:val="24"/>
          <w:szCs w:val="24"/>
          <w:lang w:val="en-US"/>
        </w:rPr>
      </w:pPr>
    </w:p>
    <w:p w14:paraId="13B0EB1A" w14:textId="2ABAF97C" w:rsidR="00EE6CC6" w:rsidRPr="00420C85" w:rsidRDefault="00EE6CC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p w14:paraId="78888712" w14:textId="3F11F5F6" w:rsidR="00EE6CC6" w:rsidRPr="00420C85" w:rsidRDefault="00EE6CC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https://financesonline.com/virtual-reality-statistics/.</w:t>
      </w:r>
    </w:p>
    <w:sectPr w:rsidR="00EE6CC6" w:rsidRPr="0042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314895">
    <w:abstractNumId w:val="3"/>
  </w:num>
  <w:num w:numId="2" w16cid:durableId="1256785210">
    <w:abstractNumId w:val="5"/>
  </w:num>
  <w:num w:numId="3" w16cid:durableId="53623562">
    <w:abstractNumId w:val="6"/>
  </w:num>
  <w:num w:numId="4" w16cid:durableId="1916236568">
    <w:abstractNumId w:val="1"/>
  </w:num>
  <w:num w:numId="5" w16cid:durableId="2059238653">
    <w:abstractNumId w:val="4"/>
  </w:num>
  <w:num w:numId="6" w16cid:durableId="1260944665">
    <w:abstractNumId w:val="0"/>
  </w:num>
  <w:num w:numId="7" w16cid:durableId="1772166821">
    <w:abstractNumId w:val="2"/>
  </w:num>
  <w:num w:numId="8" w16cid:durableId="1525165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27298"/>
    <w:rsid w:val="00067817"/>
    <w:rsid w:val="00074A9E"/>
    <w:rsid w:val="00080D2A"/>
    <w:rsid w:val="000A6EDE"/>
    <w:rsid w:val="000D6719"/>
    <w:rsid w:val="000E5FA1"/>
    <w:rsid w:val="000E6113"/>
    <w:rsid w:val="000F06A5"/>
    <w:rsid w:val="00104674"/>
    <w:rsid w:val="001055D1"/>
    <w:rsid w:val="001163C4"/>
    <w:rsid w:val="00120FFD"/>
    <w:rsid w:val="001220CC"/>
    <w:rsid w:val="00126086"/>
    <w:rsid w:val="001A50C7"/>
    <w:rsid w:val="001C1DB6"/>
    <w:rsid w:val="001C5C13"/>
    <w:rsid w:val="001C764A"/>
    <w:rsid w:val="001E38DF"/>
    <w:rsid w:val="001F062A"/>
    <w:rsid w:val="00216C96"/>
    <w:rsid w:val="00222A92"/>
    <w:rsid w:val="0023412B"/>
    <w:rsid w:val="00245B05"/>
    <w:rsid w:val="00254C8C"/>
    <w:rsid w:val="00256DE4"/>
    <w:rsid w:val="002629B1"/>
    <w:rsid w:val="002641F7"/>
    <w:rsid w:val="002643D8"/>
    <w:rsid w:val="00291A6C"/>
    <w:rsid w:val="0029377C"/>
    <w:rsid w:val="002B4AA0"/>
    <w:rsid w:val="002E4337"/>
    <w:rsid w:val="003045AC"/>
    <w:rsid w:val="00320871"/>
    <w:rsid w:val="00370606"/>
    <w:rsid w:val="00380C79"/>
    <w:rsid w:val="003976E9"/>
    <w:rsid w:val="003C2B6A"/>
    <w:rsid w:val="003E59CD"/>
    <w:rsid w:val="003E5B17"/>
    <w:rsid w:val="00410A97"/>
    <w:rsid w:val="00420AB8"/>
    <w:rsid w:val="00420C85"/>
    <w:rsid w:val="004258DE"/>
    <w:rsid w:val="004267C2"/>
    <w:rsid w:val="004874CA"/>
    <w:rsid w:val="004B2D5F"/>
    <w:rsid w:val="004B7172"/>
    <w:rsid w:val="00521615"/>
    <w:rsid w:val="005446AC"/>
    <w:rsid w:val="005459CE"/>
    <w:rsid w:val="005645CD"/>
    <w:rsid w:val="00573459"/>
    <w:rsid w:val="005C59E6"/>
    <w:rsid w:val="005D0588"/>
    <w:rsid w:val="005E5A18"/>
    <w:rsid w:val="006247FA"/>
    <w:rsid w:val="006450EA"/>
    <w:rsid w:val="006913B9"/>
    <w:rsid w:val="00693785"/>
    <w:rsid w:val="00697692"/>
    <w:rsid w:val="006E4E1D"/>
    <w:rsid w:val="006E4EA8"/>
    <w:rsid w:val="006F3496"/>
    <w:rsid w:val="006F6CD3"/>
    <w:rsid w:val="00705B2C"/>
    <w:rsid w:val="00713726"/>
    <w:rsid w:val="0072133C"/>
    <w:rsid w:val="0072697D"/>
    <w:rsid w:val="0073131F"/>
    <w:rsid w:val="00756C2A"/>
    <w:rsid w:val="00762A0A"/>
    <w:rsid w:val="00767C55"/>
    <w:rsid w:val="00794D39"/>
    <w:rsid w:val="007B25A0"/>
    <w:rsid w:val="007D1144"/>
    <w:rsid w:val="00820B15"/>
    <w:rsid w:val="0083396C"/>
    <w:rsid w:val="00836363"/>
    <w:rsid w:val="008945ED"/>
    <w:rsid w:val="008A3B00"/>
    <w:rsid w:val="008B0FA9"/>
    <w:rsid w:val="008B696B"/>
    <w:rsid w:val="008D2F10"/>
    <w:rsid w:val="008F6756"/>
    <w:rsid w:val="00934CAF"/>
    <w:rsid w:val="0094041B"/>
    <w:rsid w:val="009539CC"/>
    <w:rsid w:val="00977F8B"/>
    <w:rsid w:val="009C6F7E"/>
    <w:rsid w:val="009E0550"/>
    <w:rsid w:val="009F723C"/>
    <w:rsid w:val="00A129DD"/>
    <w:rsid w:val="00A451F8"/>
    <w:rsid w:val="00A523B5"/>
    <w:rsid w:val="00A52D49"/>
    <w:rsid w:val="00A91D8A"/>
    <w:rsid w:val="00AA22D2"/>
    <w:rsid w:val="00AD4F7C"/>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C16FE"/>
    <w:rsid w:val="00DC4954"/>
    <w:rsid w:val="00DE3838"/>
    <w:rsid w:val="00DE7494"/>
    <w:rsid w:val="00E1745B"/>
    <w:rsid w:val="00E36E0B"/>
    <w:rsid w:val="00E5191B"/>
    <w:rsid w:val="00E519BD"/>
    <w:rsid w:val="00E538CD"/>
    <w:rsid w:val="00E67642"/>
    <w:rsid w:val="00E76E3F"/>
    <w:rsid w:val="00E83C8F"/>
    <w:rsid w:val="00E94656"/>
    <w:rsid w:val="00EC1A78"/>
    <w:rsid w:val="00EE063E"/>
    <w:rsid w:val="00EE6CC6"/>
    <w:rsid w:val="00F05F8A"/>
    <w:rsid w:val="00F27620"/>
    <w:rsid w:val="00F45710"/>
    <w:rsid w:val="00F75FD1"/>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ink.springer.com/article/10.1007/s12262-021-03243-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2889</TotalTime>
  <Pages>10</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77</cp:revision>
  <dcterms:created xsi:type="dcterms:W3CDTF">2024-03-16T12:22:00Z</dcterms:created>
  <dcterms:modified xsi:type="dcterms:W3CDTF">2024-04-18T04:21:00Z</dcterms:modified>
</cp:coreProperties>
</file>