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172A"/>
          <w:sz w:val="48"/>
        </w:rPr>
        <w:t>AI Universal Website Tester</w:t>
      </w:r>
    </w:p>
    <w:p>
      <w:pPr>
        <w:spacing w:before="0" w:after="80"/>
      </w:pPr>
      <w:r>
        <w:rPr>
          <w:rFonts w:ascii="Calibri" w:hAnsi="Calibri"/>
          <w:b/>
          <w:color w:val="0284C7"/>
          <w:sz w:val="26"/>
        </w:rPr>
        <w:t>Hackathon Pitch, Architectural Defense &amp; Technical Evaluation Guide</w:t>
      </w:r>
    </w:p>
    <w:p>
      <w:pPr>
        <w:spacing w:before="0" w:after="280"/>
      </w:pPr>
      <w:r>
        <w:rPr>
          <w:rFonts w:ascii="Calibri" w:hAnsi="Calibri"/>
          <w:b/>
          <w:color w:val="0D9488"/>
          <w:sz w:val="19"/>
        </w:rPr>
        <w:t>PITCH • 18-STEP ARCHITECTURE • 4-PILLAR DEEP DIVE • JUDGES &amp; DEV Q&amp;A • SLIDE BLUEPRINT</w:t>
      </w:r>
    </w:p>
    <w:p>
      <w:pPr>
        <w:spacing w:before="0" w:after="240"/>
        <w:pBdr>
          <w:bottom w:val="single" w:sz="18" w:space="1" w:color="0284C7"/>
        </w:pBdr>
      </w:pPr>
    </w:p>
    <w:p>
      <w:pPr>
        <w:pStyle w:val="Heading1"/>
        <w:spacing w:before="240" w:after="120"/>
      </w:pPr>
      <w:r>
        <w:t>1. The 30-Second Elevator Pitch</w:t>
      </w:r>
    </w:p>
    <w:tbl>
      <w:tblPr>
        <w:tblW w:type="auto" w:w="0"/>
        <w:jc w:val="center"/>
        <w:tblLayout w:type="fixed"/>
        <w:tblLook w:firstColumn="1" w:firstRow="1" w:lastColumn="0" w:lastRow="0" w:noHBand="0" w:noVBand="1" w:val="04A0"/>
      </w:tblPr>
      <w:tblGrid>
        <w:gridCol w:w="9936"/>
      </w:tblGrid>
      <w:tr>
        <w:tc>
          <w:tcPr>
            <w:tcW w:type="dxa" w:w="9360"/>
            <w:shd w:fill="F0F9FF"/>
            <w:tcMar>
              <w:top w:w="140" w:type="dxa"/>
              <w:bottom w:w="140" w:type="dxa"/>
              <w:left w:w="200" w:type="dxa"/>
              <w:right w:w="200" w:type="dxa"/>
            </w:tcMar>
            <w:tcBorders>
              <w:top w:val="none"/>
              <w:left w:val="single" w:sz="36" w:space="0" w:color="0284C7"/>
              <w:bottom w:val="none"/>
              <w:right w:val="none"/>
            </w:tcBorders>
          </w:tcPr>
          <w:p>
            <w:pPr>
              <w:spacing w:before="40" w:after="80" w:line="276" w:lineRule="auto"/>
            </w:pPr>
            <w:r>
              <w:rPr>
                <w:rFonts w:ascii="Calibri" w:hAnsi="Calibri"/>
                <w:color w:val="1E293B"/>
                <w:sz w:val="21"/>
              </w:rPr>
              <w:t>"Modern web applications fail in four critical areas: broken code/links, security vulnerabilities, slow load times, and poor accessibility. Today, engineering teams juggle 5 disjointed tools—Lighthouse, OWASP ZAP, Axe-core, Locust, and manual QA—which is slow, expensive, and often crashes live production databases.</w:t>
            </w:r>
          </w:p>
          <w:p>
            <w:pPr>
              <w:spacing w:before="40" w:after="80" w:line="276" w:lineRule="auto"/>
            </w:pPr>
            <w:r>
              <w:rPr>
                <w:rFonts w:ascii="Calibri" w:hAnsi="Calibri"/>
                <w:color w:val="1E293B"/>
                <w:sz w:val="21"/>
              </w:rPr>
              <w:t>AI Universal Website Tester is a zero-install, URL-only diagnostic engine. In one click, our non-destructive Playwright crawler, inline egress safety guard, local AI models (Qwen2.5), and deterministic verification engine audit all 4 pillars simultaneously. It streams live browser actions in real time and delivers an executive-ready, verified report with zero false alarms and zero risk of site damage."</w:t>
            </w:r>
          </w:p>
        </w:tc>
      </w:tr>
    </w:tbl>
    <w:p/>
    <w:p>
      <w:pPr>
        <w:pStyle w:val="Heading1"/>
        <w:spacing w:before="280" w:after="120"/>
      </w:pPr>
      <w:r>
        <w:t>2. The 4-Pillar Unified Matrix</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304"/>
            <w:shd w:fill="0F172A"/>
            <w:tcMar>
              <w:top w:w="140" w:type="dxa"/>
              <w:bottom w:w="140" w:type="dxa"/>
              <w:left w:w="120" w:type="dxa"/>
              <w:right w:w="120" w:type="dxa"/>
            </w:tcMar>
          </w:tcPr>
          <w:p>
            <w:pPr>
              <w:jc w:val="center"/>
            </w:pPr>
            <w:r>
              <w:rPr>
                <w:rFonts w:ascii="Arial" w:hAnsi="Arial"/>
                <w:b/>
                <w:color w:val="FFFFFF"/>
                <w:sz w:val="21"/>
              </w:rPr>
              <w:t>1. Functionality</w:t>
              <w:br/>
            </w:r>
            <w:r>
              <w:rPr>
                <w:rFonts w:ascii="Calibri" w:hAnsi="Calibri"/>
                <w:color w:val="38BDF8"/>
                <w:sz w:val="17"/>
              </w:rPr>
              <w:t>Playwright DOM Engine</w:t>
            </w:r>
          </w:p>
        </w:tc>
        <w:tc>
          <w:tcPr>
            <w:tcW w:type="dxa" w:w="2448"/>
            <w:shd w:fill="0F172A"/>
            <w:tcMar>
              <w:top w:w="140" w:type="dxa"/>
              <w:bottom w:w="140" w:type="dxa"/>
              <w:left w:w="120" w:type="dxa"/>
              <w:right w:w="120" w:type="dxa"/>
            </w:tcMar>
          </w:tcPr>
          <w:p>
            <w:pPr>
              <w:jc w:val="center"/>
            </w:pPr>
            <w:r>
              <w:rPr>
                <w:rFonts w:ascii="Arial" w:hAnsi="Arial"/>
                <w:b/>
                <w:color w:val="FFFFFF"/>
                <w:sz w:val="21"/>
              </w:rPr>
              <w:t>2. Security</w:t>
              <w:br/>
            </w:r>
            <w:r>
              <w:rPr>
                <w:rFonts w:ascii="Calibri" w:hAnsi="Calibri"/>
                <w:color w:val="38BDF8"/>
                <w:sz w:val="17"/>
              </w:rPr>
              <w:t>mitmproxy Egress Guard</w:t>
            </w:r>
          </w:p>
        </w:tc>
        <w:tc>
          <w:tcPr>
            <w:tcW w:type="dxa" w:w="2304"/>
            <w:shd w:fill="0F172A"/>
            <w:tcMar>
              <w:top w:w="140" w:type="dxa"/>
              <w:bottom w:w="140" w:type="dxa"/>
              <w:left w:w="120" w:type="dxa"/>
              <w:right w:w="120" w:type="dxa"/>
            </w:tcMar>
          </w:tcPr>
          <w:p>
            <w:pPr>
              <w:jc w:val="center"/>
            </w:pPr>
            <w:r>
              <w:rPr>
                <w:rFonts w:ascii="Arial" w:hAnsi="Arial"/>
                <w:b/>
                <w:color w:val="FFFFFF"/>
                <w:sz w:val="21"/>
              </w:rPr>
              <w:t>3. Performance</w:t>
              <w:br/>
            </w:r>
            <w:r>
              <w:rPr>
                <w:rFonts w:ascii="Calibri" w:hAnsi="Calibri"/>
                <w:color w:val="38BDF8"/>
                <w:sz w:val="17"/>
              </w:rPr>
              <w:t>Lighthouse &amp; Locust</w:t>
            </w:r>
          </w:p>
        </w:tc>
        <w:tc>
          <w:tcPr>
            <w:tcW w:type="dxa" w:w="2304"/>
            <w:shd w:fill="0F172A"/>
            <w:tcMar>
              <w:top w:w="140" w:type="dxa"/>
              <w:bottom w:w="140" w:type="dxa"/>
              <w:left w:w="120" w:type="dxa"/>
              <w:right w:w="120" w:type="dxa"/>
            </w:tcMar>
          </w:tcPr>
          <w:p>
            <w:pPr>
              <w:jc w:val="center"/>
            </w:pPr>
            <w:r>
              <w:rPr>
                <w:rFonts w:ascii="Arial" w:hAnsi="Arial"/>
                <w:b/>
                <w:color w:val="FFFFFF"/>
                <w:sz w:val="21"/>
              </w:rPr>
              <w:t>4. Accessibility</w:t>
              <w:br/>
            </w:r>
            <w:r>
              <w:rPr>
                <w:rFonts w:ascii="Calibri" w:hAnsi="Calibri"/>
                <w:color w:val="38BDF8"/>
                <w:sz w:val="17"/>
              </w:rPr>
              <w:t>Axe-core &amp; Pa11y</w:t>
            </w:r>
          </w:p>
        </w:tc>
      </w:tr>
      <w:tr>
        <w:tc>
          <w:tcPr>
            <w:tcW w:type="dxa" w:w="2304"/>
            <w:shd w:fill="FFFFFF"/>
            <w:tcMar>
              <w:top w:w="100" w:type="dxa"/>
              <w:bottom w:w="100" w:type="dxa"/>
              <w:left w:w="100" w:type="dxa"/>
              <w:right w:w="100" w:type="dxa"/>
            </w:tcMar>
          </w:tcPr>
          <w:p>
            <w:pPr>
              <w:spacing w:line="276" w:lineRule="auto" w:after="40"/>
            </w:pPr>
            <w:r>
              <w:rPr>
                <w:rFonts w:ascii="Calibri" w:hAnsi="Calibri"/>
                <w:color w:val="334155"/>
                <w:sz w:val="17"/>
              </w:rPr>
              <w:t>• Dual viewport audit (Desktop 1440×1000, Mobile 390×844)</w:t>
              <w:br/>
              <w:t>• Progressive dynamic scroll sweep &amp; lazy DOM mapping</w:t>
              <w:br/>
              <w:t>• Client-side JS exception &amp; promise rejection listening</w:t>
              <w:br/>
              <w:t>• Safe form boundary testing (empty, invalid, overflow)</w:t>
            </w:r>
          </w:p>
        </w:tc>
        <w:tc>
          <w:tcPr>
            <w:tcW w:type="dxa" w:w="2448"/>
            <w:shd w:fill="FFFFFF"/>
            <w:tcMar>
              <w:top w:w="100" w:type="dxa"/>
              <w:bottom w:w="100" w:type="dxa"/>
              <w:left w:w="100" w:type="dxa"/>
              <w:right w:w="100" w:type="dxa"/>
            </w:tcMar>
          </w:tcPr>
          <w:p>
            <w:pPr>
              <w:spacing w:line="276" w:lineRule="auto" w:after="40"/>
            </w:pPr>
            <w:r>
              <w:rPr>
                <w:rFonts w:ascii="Calibri" w:hAnsi="Calibri"/>
                <w:color w:val="334155"/>
                <w:sz w:val="17"/>
              </w:rPr>
              <w:t>• Inline mitmproxy safety guard with DNS pinning</w:t>
              <w:br/>
              <w:t>• Passive OWASP ZAP baseline scan</w:t>
              <w:br/>
              <w:t>• Curated read-only Nuclei CVE templates</w:t>
              <w:br/>
              <w:t>• Harmless inert probes testing input reflection &amp; error codes</w:t>
            </w:r>
          </w:p>
        </w:tc>
        <w:tc>
          <w:tcPr>
            <w:tcW w:type="dxa" w:w="2304"/>
            <w:shd w:fill="FFFFFF"/>
            <w:tcMar>
              <w:top w:w="100" w:type="dxa"/>
              <w:bottom w:w="100" w:type="dxa"/>
              <w:left w:w="100" w:type="dxa"/>
              <w:right w:w="100" w:type="dxa"/>
            </w:tcMar>
          </w:tcPr>
          <w:p>
            <w:pPr>
              <w:spacing w:line="276" w:lineRule="auto" w:after="40"/>
            </w:pPr>
            <w:r>
              <w:rPr>
                <w:rFonts w:ascii="Calibri" w:hAnsi="Calibri"/>
                <w:color w:val="334155"/>
                <w:sz w:val="17"/>
              </w:rPr>
              <w:t>• Google Lighthouse synthetic lab metrics (LCP, FCP, CLS, TBT)</w:t>
              <w:br/>
              <w:t>• Raw TCP / TLS / TTFB socket timing breakdown</w:t>
              <w:br/>
              <w:t>• Bounded Locust concurrency test (capped rate &amp; circuit breakers)</w:t>
              <w:br/>
              <w:t>• Asset compression &amp; cache policy analysis</w:t>
            </w:r>
          </w:p>
        </w:tc>
        <w:tc>
          <w:tcPr>
            <w:tcW w:type="dxa" w:w="2304"/>
            <w:shd w:fill="FFFFFF"/>
            <w:tcMar>
              <w:top w:w="100" w:type="dxa"/>
              <w:bottom w:w="100" w:type="dxa"/>
              <w:left w:w="100" w:type="dxa"/>
              <w:right w:w="100" w:type="dxa"/>
            </w:tcMar>
          </w:tcPr>
          <w:p>
            <w:pPr>
              <w:spacing w:line="276" w:lineRule="auto" w:after="40"/>
            </w:pPr>
            <w:r>
              <w:rPr>
                <w:rFonts w:ascii="Calibri" w:hAnsi="Calibri"/>
                <w:color w:val="334155"/>
                <w:sz w:val="17"/>
              </w:rPr>
              <w:t>• Axe-core 4.10 DOM audit engine</w:t>
              <w:br/>
              <w:t>• Independent Pa11y WCAG 2.1 AA evaluation</w:t>
              <w:br/>
              <w:t>• Contrast ratio calculation (&lt; 4.5:1)</w:t>
              <w:br/>
              <w:t>• Keyboard traps, missing labels, and ARIA tree integrity</w:t>
            </w:r>
          </w:p>
        </w:tc>
      </w:tr>
      <w:tr>
        <w:tc>
          <w:tcPr>
            <w:tcW w:type="dxa" w:w="2304"/>
            <w:shd w:fill="F8FAFC"/>
            <w:tcMar>
              <w:top w:w="100" w:type="dxa"/>
              <w:bottom w:w="100" w:type="dxa"/>
              <w:left w:w="100" w:type="dxa"/>
              <w:right w:w="100" w:type="dxa"/>
            </w:tcMar>
          </w:tcPr>
          <w:p>
            <w:pPr>
              <w:spacing w:line="276" w:lineRule="auto" w:after="40"/>
            </w:pPr>
            <w:r>
              <w:rPr>
                <w:rFonts w:ascii="Calibri" w:hAnsi="Calibri"/>
                <w:color w:val="334155"/>
                <w:sz w:val="17"/>
              </w:rPr>
              <w:t>• Uncaught JS runtime errors freezing UI</w:t>
              <w:br/>
              <w:t>• 404 dead links &amp; missing bundles</w:t>
              <w:br/>
              <w:t>• Unresponsive dropdowns &amp; menus</w:t>
              <w:br/>
              <w:t>• Mobile responsive layout overflow</w:t>
              <w:br/>
              <w:t>• Client validation bypasses</w:t>
            </w:r>
          </w:p>
        </w:tc>
        <w:tc>
          <w:tcPr>
            <w:tcW w:type="dxa" w:w="2448"/>
            <w:shd w:fill="F8FAFC"/>
            <w:tcMar>
              <w:top w:w="100" w:type="dxa"/>
              <w:bottom w:w="100" w:type="dxa"/>
              <w:left w:w="100" w:type="dxa"/>
              <w:right w:w="100" w:type="dxa"/>
            </w:tcMar>
          </w:tcPr>
          <w:p>
            <w:pPr>
              <w:spacing w:line="276" w:lineRule="auto" w:after="40"/>
            </w:pPr>
            <w:r>
              <w:rPr>
                <w:rFonts w:ascii="Calibri" w:hAnsi="Calibri"/>
                <w:color w:val="334155"/>
                <w:sz w:val="17"/>
              </w:rPr>
              <w:t>• Missing CSP, HSTS, XFO headers</w:t>
              <w:br/>
              <w:t>• Insecure session cookies (No HttpOnly/Secure/SameSite)</w:t>
              <w:br/>
              <w:t>• Exposed .env, .git, debug endpoints</w:t>
              <w:br/>
              <w:t>• Raw parameter reflection anomalies</w:t>
            </w:r>
          </w:p>
        </w:tc>
        <w:tc>
          <w:tcPr>
            <w:tcW w:type="dxa" w:w="2304"/>
            <w:shd w:fill="F8FAFC"/>
            <w:tcMar>
              <w:top w:w="100" w:type="dxa"/>
              <w:bottom w:w="100" w:type="dxa"/>
              <w:left w:w="100" w:type="dxa"/>
              <w:right w:w="100" w:type="dxa"/>
            </w:tcMar>
          </w:tcPr>
          <w:p>
            <w:pPr>
              <w:spacing w:line="276" w:lineRule="auto" w:after="40"/>
            </w:pPr>
            <w:r>
              <w:rPr>
                <w:rFonts w:ascii="Calibri" w:hAnsi="Calibri"/>
                <w:color w:val="334155"/>
                <w:sz w:val="17"/>
              </w:rPr>
              <w:t>• High Time to First Byte (TTFB)</w:t>
              <w:br/>
              <w:t>• Cumulative Layout Shift (CLS jumps)</w:t>
              <w:br/>
              <w:t>• Heavy JavaScript thread blocking</w:t>
              <w:br/>
              <w:t>• Uncompressed hero images &amp; JS bundles</w:t>
              <w:br/>
              <w:t>• High-concurrency server bottlenecks</w:t>
            </w:r>
          </w:p>
        </w:tc>
        <w:tc>
          <w:tcPr>
            <w:tcW w:type="dxa" w:w="2304"/>
            <w:shd w:fill="F8FAFC"/>
            <w:tcMar>
              <w:top w:w="100" w:type="dxa"/>
              <w:bottom w:w="100" w:type="dxa"/>
              <w:left w:w="100" w:type="dxa"/>
              <w:right w:w="100" w:type="dxa"/>
            </w:tcMar>
          </w:tcPr>
          <w:p>
            <w:pPr>
              <w:spacing w:line="276" w:lineRule="auto" w:after="40"/>
            </w:pPr>
            <w:r>
              <w:rPr>
                <w:rFonts w:ascii="Calibri" w:hAnsi="Calibri"/>
                <w:color w:val="334155"/>
                <w:sz w:val="17"/>
              </w:rPr>
              <w:t>• Inadequate contrast (WCAG AA violation)</w:t>
              <w:br/>
              <w:t>• Missing image alt attributes</w:t>
              <w:br/>
              <w:t>• Unlabeled form inputs &amp; buttons</w:t>
              <w:br/>
              <w:t>• Missing document language attributes</w:t>
              <w:br/>
              <w:t>• Keyboard navigation traps</w:t>
            </w:r>
          </w:p>
        </w:tc>
      </w:tr>
      <w:tr>
        <w:tc>
          <w:tcPr>
            <w:tcW w:type="dxa" w:w="2304"/>
            <w:shd w:fill="FFFFFF"/>
            <w:tcMar>
              <w:top w:w="100" w:type="dxa"/>
              <w:bottom w:w="100" w:type="dxa"/>
              <w:left w:w="100" w:type="dxa"/>
              <w:right w:w="100" w:type="dxa"/>
            </w:tcMar>
          </w:tcPr>
          <w:p>
            <w:pPr>
              <w:spacing w:line="276" w:lineRule="auto" w:after="40"/>
            </w:pPr>
            <w:r>
              <w:rPr>
                <w:rFonts w:ascii="Calibri" w:hAnsi="Calibri"/>
                <w:color w:val="334155"/>
                <w:sz w:val="17"/>
              </w:rPr>
              <w:t>100% Non-destructive: forms are tested with boundary values client-side; submit actions to mutation endpoints are blocked.</w:t>
            </w:r>
          </w:p>
        </w:tc>
        <w:tc>
          <w:tcPr>
            <w:tcW w:type="dxa" w:w="2448"/>
            <w:shd w:fill="FFFFFF"/>
            <w:tcMar>
              <w:top w:w="100" w:type="dxa"/>
              <w:bottom w:w="100" w:type="dxa"/>
              <w:left w:w="100" w:type="dxa"/>
              <w:right w:w="100" w:type="dxa"/>
            </w:tcMar>
          </w:tcPr>
          <w:p>
            <w:pPr>
              <w:spacing w:line="276" w:lineRule="auto" w:after="40"/>
            </w:pPr>
            <w:r>
              <w:rPr>
                <w:rFonts w:ascii="Calibri" w:hAnsi="Calibri"/>
                <w:color w:val="334155"/>
                <w:sz w:val="17"/>
              </w:rPr>
              <w:t>Same-origin strict pinning: requests outside the target origin are aborted before reaching the network.</w:t>
            </w:r>
          </w:p>
        </w:tc>
        <w:tc>
          <w:tcPr>
            <w:tcW w:type="dxa" w:w="2304"/>
            <w:shd w:fill="FFFFFF"/>
            <w:tcMar>
              <w:top w:w="100" w:type="dxa"/>
              <w:bottom w:w="100" w:type="dxa"/>
              <w:left w:w="100" w:type="dxa"/>
              <w:right w:w="100" w:type="dxa"/>
            </w:tcMar>
          </w:tcPr>
          <w:p>
            <w:pPr>
              <w:spacing w:line="276" w:lineRule="auto" w:after="40"/>
            </w:pPr>
            <w:r>
              <w:rPr>
                <w:rFonts w:ascii="Calibri" w:hAnsi="Calibri"/>
                <w:color w:val="334155"/>
                <w:sz w:val="17"/>
              </w:rPr>
              <w:t>Safe rate limiting (15 req/sec); load testing bounded to maximum 20 users / 30 seconds with automatic circuit break.</w:t>
            </w:r>
          </w:p>
        </w:tc>
        <w:tc>
          <w:tcPr>
            <w:tcW w:type="dxa" w:w="2304"/>
            <w:shd w:fill="FFFFFF"/>
            <w:tcMar>
              <w:top w:w="100" w:type="dxa"/>
              <w:bottom w:w="100" w:type="dxa"/>
              <w:left w:w="100" w:type="dxa"/>
              <w:right w:w="100" w:type="dxa"/>
            </w:tcMar>
          </w:tcPr>
          <w:p>
            <w:pPr>
              <w:spacing w:line="276" w:lineRule="auto" w:after="40"/>
            </w:pPr>
            <w:r>
              <w:rPr>
                <w:rFonts w:ascii="Calibri" w:hAnsi="Calibri"/>
                <w:color w:val="334155"/>
                <w:sz w:val="17"/>
              </w:rPr>
              <w:t>Read-only DOM evaluation; zero DOM alteration or intrusive script injection on target production servers.</w:t>
            </w:r>
          </w:p>
        </w:tc>
      </w:tr>
      <w:tr>
        <w:tc>
          <w:tcPr>
            <w:tcW w:type="dxa" w:w="2304"/>
            <w:shd w:fill="F8FAFC"/>
            <w:tcMar>
              <w:top w:w="100" w:type="dxa"/>
              <w:bottom w:w="100" w:type="dxa"/>
              <w:left w:w="100" w:type="dxa"/>
              <w:right w:w="100" w:type="dxa"/>
            </w:tcMar>
          </w:tcPr>
          <w:p>
            <w:pPr>
              <w:spacing w:line="276" w:lineRule="auto" w:after="40"/>
            </w:pPr>
            <w:r>
              <w:rPr>
                <w:rFonts w:ascii="Calibri" w:hAnsi="Calibri"/>
                <w:color w:val="334155"/>
                <w:sz w:val="17"/>
              </w:rPr>
              <w:t>Deterministic re-execution of failing console events, HTTP status codes, and broken image decodes.</w:t>
            </w:r>
          </w:p>
        </w:tc>
        <w:tc>
          <w:tcPr>
            <w:tcW w:type="dxa" w:w="2448"/>
            <w:shd w:fill="F8FAFC"/>
            <w:tcMar>
              <w:top w:w="100" w:type="dxa"/>
              <w:bottom w:w="100" w:type="dxa"/>
              <w:left w:w="100" w:type="dxa"/>
              <w:right w:w="100" w:type="dxa"/>
            </w:tcMar>
          </w:tcPr>
          <w:p>
            <w:pPr>
              <w:spacing w:line="276" w:lineRule="auto" w:after="40"/>
            </w:pPr>
            <w:r>
              <w:rPr>
                <w:rFonts w:ascii="Calibri" w:hAnsi="Calibri"/>
                <w:color w:val="334155"/>
                <w:sz w:val="17"/>
              </w:rPr>
              <w:t>Passive rule correlation and header inspection against RFC standards.</w:t>
            </w:r>
          </w:p>
        </w:tc>
        <w:tc>
          <w:tcPr>
            <w:tcW w:type="dxa" w:w="2304"/>
            <w:shd w:fill="F8FAFC"/>
            <w:tcMar>
              <w:top w:w="100" w:type="dxa"/>
              <w:bottom w:w="100" w:type="dxa"/>
              <w:left w:w="100" w:type="dxa"/>
              <w:right w:w="100" w:type="dxa"/>
            </w:tcMar>
          </w:tcPr>
          <w:p>
            <w:pPr>
              <w:spacing w:line="276" w:lineRule="auto" w:after="40"/>
            </w:pPr>
            <w:r>
              <w:rPr>
                <w:rFonts w:ascii="Calibri" w:hAnsi="Calibri"/>
                <w:color w:val="334155"/>
                <w:sz w:val="17"/>
              </w:rPr>
              <w:t>Repeatable synthetic metric bounds; noisy outliers discarded.</w:t>
            </w:r>
          </w:p>
        </w:tc>
        <w:tc>
          <w:tcPr>
            <w:tcW w:type="dxa" w:w="2304"/>
            <w:shd w:fill="F8FAFC"/>
            <w:tcMar>
              <w:top w:w="100" w:type="dxa"/>
              <w:bottom w:w="100" w:type="dxa"/>
              <w:left w:w="100" w:type="dxa"/>
              <w:right w:w="100" w:type="dxa"/>
            </w:tcMar>
          </w:tcPr>
          <w:p>
            <w:pPr>
              <w:spacing w:line="276" w:lineRule="auto" w:after="40"/>
            </w:pPr>
            <w:r>
              <w:rPr>
                <w:rFonts w:ascii="Calibri" w:hAnsi="Calibri"/>
                <w:color w:val="334155"/>
                <w:sz w:val="17"/>
              </w:rPr>
              <w:t>Machine-executable rule IDs mapped to international WCAG 2.1 AA success criteria.</w:t>
            </w:r>
          </w:p>
        </w:tc>
      </w:tr>
    </w:tbl>
    <w:p/>
    <w:p>
      <w:pPr>
        <w:pStyle w:val="Heading1"/>
        <w:spacing w:before="280" w:after="120"/>
      </w:pPr>
      <w:r>
        <w:t>3. The 18-Step Automated Diagnostic Pipeline</w:t>
      </w:r>
    </w:p>
    <w:p>
      <w:r>
        <w:rPr>
          <w:color w:val="334155"/>
        </w:rPr>
        <w:t>Unlike simple single-page tools, AI Universal Website Tester runs an end-to-end, multi-stage pipeline where every stage is bounded, resilient, and non-destructive:</w:t>
      </w:r>
    </w:p>
    <w:p>
      <w:pPr>
        <w:spacing w:before="60" w:after="60"/>
        <w:ind w:left="288"/>
      </w:pPr>
      <w:r>
        <w:rPr>
          <w:rFonts w:ascii="Calibri" w:hAnsi="Calibri"/>
          <w:b/>
          <w:color w:val="0F172A"/>
          <w:sz w:val="20"/>
        </w:rPr>
        <w:t xml:space="preserve">• Step 1: Authorization &amp; Network Safety: </w:t>
      </w:r>
      <w:r>
        <w:rPr>
          <w:rFonts w:ascii="Calibri" w:hAnsi="Calibri"/>
          <w:color w:val="334155"/>
          <w:sz w:val="19"/>
        </w:rPr>
        <w:t>Validates the target origin against organizer allowlists, verifies DNS records, and initializes the egress proxy guard with rate limiting (15 req/s) and DNS pinning.</w:t>
      </w:r>
    </w:p>
    <w:p>
      <w:pPr>
        <w:spacing w:before="60" w:after="60"/>
        <w:ind w:left="288"/>
      </w:pPr>
      <w:r>
        <w:rPr>
          <w:rFonts w:ascii="Calibri" w:hAnsi="Calibri"/>
          <w:b/>
          <w:color w:val="0F172A"/>
          <w:sz w:val="20"/>
        </w:rPr>
        <w:t xml:space="preserve">• Step 2: Crawl &amp; Map the Website: </w:t>
      </w:r>
      <w:r>
        <w:rPr>
          <w:rFonts w:ascii="Calibri" w:hAnsi="Calibri"/>
          <w:color w:val="334155"/>
          <w:sz w:val="19"/>
        </w:rPr>
        <w:t>Launches headless Chromium via Playwright. Emulates Desktop (1440×1000) and Mobile (390×844) viewports. Executes progressive dynamic viewport scrolling to load lazy-loaded DOM elements and maps navigation trees without submitting forms.</w:t>
      </w:r>
    </w:p>
    <w:p>
      <w:pPr>
        <w:spacing w:before="60" w:after="60"/>
        <w:ind w:left="288"/>
      </w:pPr>
      <w:r>
        <w:rPr>
          <w:rFonts w:ascii="Calibri" w:hAnsi="Calibri"/>
          <w:b/>
          <w:color w:val="0F172A"/>
          <w:sz w:val="20"/>
        </w:rPr>
        <w:t xml:space="preserve">• Step 3: AI Page Classification &amp; Flows: </w:t>
      </w:r>
      <w:r>
        <w:rPr>
          <w:rFonts w:ascii="Calibri" w:hAnsi="Calibri"/>
          <w:color w:val="334155"/>
          <w:sz w:val="19"/>
        </w:rPr>
        <w:t>Local Ollama (Qwen2.5-1.5B) classifies crawled pages (login, dashboard, form, content) and infers valid multi-page user journeys for passive flow replay.</w:t>
      </w:r>
    </w:p>
    <w:p>
      <w:pPr>
        <w:spacing w:before="60" w:after="60"/>
        <w:ind w:left="288"/>
      </w:pPr>
      <w:r>
        <w:rPr>
          <w:rFonts w:ascii="Calibri" w:hAnsi="Calibri"/>
          <w:b/>
          <w:color w:val="0F172A"/>
          <w:sz w:val="20"/>
        </w:rPr>
        <w:t xml:space="preserve">• Step 4: AI Adaptive Diagnostic Plan: </w:t>
      </w:r>
      <w:r>
        <w:rPr>
          <w:rFonts w:ascii="Calibri" w:hAnsi="Calibri"/>
          <w:color w:val="334155"/>
          <w:sz w:val="19"/>
        </w:rPr>
        <w:t>The local LLM analyzes discovered DOM structures and proposes targeted, page-aware diagnostic recommendations (security reviews, performance checks, visual reviews).</w:t>
      </w:r>
    </w:p>
    <w:p>
      <w:pPr>
        <w:spacing w:before="60" w:after="60"/>
        <w:ind w:left="288"/>
      </w:pPr>
      <w:r>
        <w:rPr>
          <w:rFonts w:ascii="Calibri" w:hAnsi="Calibri"/>
          <w:b/>
          <w:color w:val="0F172A"/>
          <w:sz w:val="20"/>
        </w:rPr>
        <w:t xml:space="preserve">• Step 5: AI Cases &amp; Safe Form Validation: </w:t>
      </w:r>
      <w:r>
        <w:rPr>
          <w:rFonts w:ascii="Calibri" w:hAnsi="Calibri"/>
          <w:color w:val="334155"/>
          <w:sz w:val="19"/>
        </w:rPr>
        <w:t>Generates realistic boundary test cases (empty input, invalid format, extreme boundary, special characters) and fills forms client-side to test client validation without submitting state-changing mutations.</w:t>
      </w:r>
    </w:p>
    <w:p>
      <w:pPr>
        <w:spacing w:before="60" w:after="60"/>
        <w:ind w:left="288"/>
      </w:pPr>
      <w:r>
        <w:rPr>
          <w:rFonts w:ascii="Calibri" w:hAnsi="Calibri"/>
          <w:b/>
          <w:color w:val="0F172A"/>
          <w:sz w:val="20"/>
        </w:rPr>
        <w:t xml:space="preserve">• Step 6: Internal Links &amp; Browser Errors: </w:t>
      </w:r>
      <w:r>
        <w:rPr>
          <w:rFonts w:ascii="Calibri" w:hAnsi="Calibri"/>
          <w:color w:val="334155"/>
          <w:sz w:val="19"/>
        </w:rPr>
        <w:t>Replays AI-proposed user journeys, intercepts unhandled JavaScript exceptions, failed console logs, and 4xx/5xx network resource failures.</w:t>
      </w:r>
    </w:p>
    <w:p>
      <w:pPr>
        <w:spacing w:before="60" w:after="60"/>
        <w:ind w:left="288"/>
      </w:pPr>
      <w:r>
        <w:rPr>
          <w:rFonts w:ascii="Calibri" w:hAnsi="Calibri"/>
          <w:b/>
          <w:color w:val="0F172A"/>
          <w:sz w:val="20"/>
        </w:rPr>
        <w:t xml:space="preserve">• Step 7: Headers, Cookies &amp; Inert Probes: </w:t>
      </w:r>
      <w:r>
        <w:rPr>
          <w:rFonts w:ascii="Calibri" w:hAnsi="Calibri"/>
          <w:color w:val="334155"/>
          <w:sz w:val="19"/>
        </w:rPr>
        <w:t>Inspects security headers (CSP, HSTS, XFO) and cookie flags (HttpOnly, Secure, SameSite). Sends inert, benign probe tags to test reflection without altering backend state.</w:t>
      </w:r>
    </w:p>
    <w:p>
      <w:pPr>
        <w:spacing w:before="60" w:after="60"/>
        <w:ind w:left="288"/>
      </w:pPr>
      <w:r>
        <w:rPr>
          <w:rFonts w:ascii="Calibri" w:hAnsi="Calibri"/>
          <w:b/>
          <w:color w:val="0F172A"/>
          <w:sz w:val="20"/>
        </w:rPr>
        <w:t xml:space="preserve">• Step 8: OWASP ZAP Passive Baseline: </w:t>
      </w:r>
      <w:r>
        <w:rPr>
          <w:rFonts w:ascii="Calibri" w:hAnsi="Calibri"/>
          <w:color w:val="334155"/>
          <w:sz w:val="19"/>
        </w:rPr>
        <w:t>Passively scans observed requests through OWASP ZAP 2.17 in safe mode with autonomous spiders and active attacks strictly disabled.</w:t>
      </w:r>
    </w:p>
    <w:p>
      <w:pPr>
        <w:spacing w:before="60" w:after="60"/>
        <w:ind w:left="288"/>
      </w:pPr>
      <w:r>
        <w:rPr>
          <w:rFonts w:ascii="Calibri" w:hAnsi="Calibri"/>
          <w:b/>
          <w:color w:val="0F172A"/>
          <w:sz w:val="20"/>
        </w:rPr>
        <w:t xml:space="preserve">• Step 9: Nuclei Read-Only Templates: </w:t>
      </w:r>
      <w:r>
        <w:rPr>
          <w:rFonts w:ascii="Calibri" w:hAnsi="Calibri"/>
          <w:color w:val="334155"/>
          <w:sz w:val="19"/>
        </w:rPr>
        <w:t>Runs curated, passive Nuclei vulnerability templates against safe endpoints to detect common CVE misconfigurations without fuzzing or OAST.</w:t>
      </w:r>
    </w:p>
    <w:p>
      <w:pPr>
        <w:spacing w:before="60" w:after="60"/>
        <w:ind w:left="288"/>
      </w:pPr>
      <w:r>
        <w:rPr>
          <w:rFonts w:ascii="Calibri" w:hAnsi="Calibri"/>
          <w:b/>
          <w:color w:val="0F172A"/>
          <w:sz w:val="20"/>
        </w:rPr>
        <w:t xml:space="preserve">• Step 10: HTTP Response Measurements: </w:t>
      </w:r>
      <w:r>
        <w:rPr>
          <w:rFonts w:ascii="Calibri" w:hAnsi="Calibri"/>
          <w:color w:val="334155"/>
          <w:sz w:val="19"/>
        </w:rPr>
        <w:t>Performs low-level socket diagnostics measuring DNS resolution latency, TCP connect time, TLS handshake duration, and Time to First Byte (TTFB).</w:t>
      </w:r>
    </w:p>
    <w:p>
      <w:pPr>
        <w:spacing w:before="60" w:after="60"/>
        <w:ind w:left="288"/>
      </w:pPr>
      <w:r>
        <w:rPr>
          <w:rFonts w:ascii="Calibri" w:hAnsi="Calibri"/>
          <w:b/>
          <w:color w:val="0F172A"/>
          <w:sz w:val="20"/>
        </w:rPr>
        <w:t xml:space="preserve">• Step 11: Lighthouse Performance Audit: </w:t>
      </w:r>
      <w:r>
        <w:rPr>
          <w:rFonts w:ascii="Calibri" w:hAnsi="Calibri"/>
          <w:color w:val="334155"/>
          <w:sz w:val="19"/>
        </w:rPr>
        <w:t>Executes Google Lighthouse to compute industry-standard Core Web Vitals: LCP (Largest Contentful Paint), FCP, CLS (Layout Shift), and TBT.</w:t>
      </w:r>
    </w:p>
    <w:p>
      <w:pPr>
        <w:spacing w:before="60" w:after="60"/>
        <w:ind w:left="288"/>
      </w:pPr>
      <w:r>
        <w:rPr>
          <w:rFonts w:ascii="Calibri" w:hAnsi="Calibri"/>
          <w:b/>
          <w:color w:val="0F172A"/>
          <w:sz w:val="20"/>
        </w:rPr>
        <w:t xml:space="preserve">• Step 12: Capped Locust Concurrency Test: </w:t>
      </w:r>
      <w:r>
        <w:rPr>
          <w:rFonts w:ascii="Calibri" w:hAnsi="Calibri"/>
          <w:color w:val="334155"/>
          <w:sz w:val="19"/>
        </w:rPr>
        <w:t>Runs a tightly bounded load test using Locust (default 4 users for 10s, max 20 users) with strict circuit breakers to assess server concurrency behavior safely.</w:t>
      </w:r>
    </w:p>
    <w:p>
      <w:pPr>
        <w:spacing w:before="60" w:after="60"/>
        <w:ind w:left="288"/>
      </w:pPr>
      <w:r>
        <w:rPr>
          <w:rFonts w:ascii="Calibri" w:hAnsi="Calibri"/>
          <w:b/>
          <w:color w:val="0F172A"/>
          <w:sz w:val="20"/>
        </w:rPr>
        <w:t xml:space="preserve">• Step 13: axe-core Accessibility Audit: </w:t>
      </w:r>
      <w:r>
        <w:rPr>
          <w:rFonts w:ascii="Calibri" w:hAnsi="Calibri"/>
          <w:color w:val="334155"/>
          <w:sz w:val="19"/>
        </w:rPr>
        <w:t>Injects Deque's Axe-core 4.10 engine directly into browser DOM frames, checking elements against international WCAG 2.1 AA success criteria.</w:t>
      </w:r>
    </w:p>
    <w:p>
      <w:pPr>
        <w:spacing w:before="60" w:after="60"/>
        <w:ind w:left="288"/>
      </w:pPr>
      <w:r>
        <w:rPr>
          <w:rFonts w:ascii="Calibri" w:hAnsi="Calibri"/>
          <w:b/>
          <w:color w:val="0F172A"/>
          <w:sz w:val="20"/>
        </w:rPr>
        <w:t xml:space="preserve">• Step 14: Pa11y Independent WCAG Checks: </w:t>
      </w:r>
      <w:r>
        <w:rPr>
          <w:rFonts w:ascii="Calibri" w:hAnsi="Calibri"/>
          <w:color w:val="334155"/>
          <w:sz w:val="19"/>
        </w:rPr>
        <w:t>Runs independent Pa11y accessibility verification on discovered pages, catching color contrast violations, missing alt text, and unassigned form labels.</w:t>
      </w:r>
    </w:p>
    <w:p>
      <w:pPr>
        <w:spacing w:before="60" w:after="60"/>
        <w:ind w:left="288"/>
      </w:pPr>
      <w:r>
        <w:rPr>
          <w:rFonts w:ascii="Calibri" w:hAnsi="Calibri"/>
          <w:b/>
          <w:color w:val="0F172A"/>
          <w:sz w:val="20"/>
        </w:rPr>
        <w:t xml:space="preserve">• Step 15: AI Desktop &amp; Mobile Visual Review: </w:t>
      </w:r>
      <w:r>
        <w:rPr>
          <w:rFonts w:ascii="Calibri" w:hAnsi="Calibri"/>
          <w:color w:val="334155"/>
          <w:sz w:val="19"/>
        </w:rPr>
        <w:t>Qwen2.5-VL inspects rendered desktop and mobile screenshots side-by-side, spotting layout clipping, text overlaps, and mobile responsive regressions.</w:t>
      </w:r>
    </w:p>
    <w:p>
      <w:pPr>
        <w:spacing w:before="60" w:after="60"/>
        <w:ind w:left="288"/>
      </w:pPr>
      <w:r>
        <w:rPr>
          <w:rFonts w:ascii="Calibri" w:hAnsi="Calibri"/>
          <w:b/>
          <w:color w:val="0F172A"/>
          <w:sz w:val="20"/>
        </w:rPr>
        <w:t xml:space="preserve">• Step 16: Re-Test &amp; Deterministic Deduplication: </w:t>
      </w:r>
      <w:r>
        <w:rPr>
          <w:rFonts w:ascii="Calibri" w:hAnsi="Calibri"/>
          <w:color w:val="334155"/>
          <w:sz w:val="19"/>
        </w:rPr>
        <w:t>The VerificationSpec engine re-executes each finding deterministically (re-verifying console errors, HTTP statuses, and broken images) to eliminate false alarms.</w:t>
      </w:r>
    </w:p>
    <w:p>
      <w:pPr>
        <w:spacing w:before="60" w:after="60"/>
        <w:ind w:left="288"/>
      </w:pPr>
      <w:r>
        <w:rPr>
          <w:rFonts w:ascii="Calibri" w:hAnsi="Calibri"/>
          <w:b/>
          <w:color w:val="0F172A"/>
          <w:sz w:val="20"/>
        </w:rPr>
        <w:t xml:space="preserve">• Step 17: AI Security Finding Triage: </w:t>
      </w:r>
      <w:r>
        <w:rPr>
          <w:rFonts w:ascii="Calibri" w:hAnsi="Calibri"/>
          <w:color w:val="334155"/>
          <w:sz w:val="19"/>
        </w:rPr>
        <w:t>Qwen2.5 analyzes verified findings, filters out benign scanner noise, and prioritizes actionable threats based on CVSS severity and business context.</w:t>
      </w:r>
    </w:p>
    <w:p>
      <w:pPr>
        <w:spacing w:before="60" w:after="60"/>
        <w:ind w:left="288"/>
      </w:pPr>
      <w:r>
        <w:rPr>
          <w:rFonts w:ascii="Calibri" w:hAnsi="Calibri"/>
          <w:b/>
          <w:color w:val="0F172A"/>
          <w:sz w:val="20"/>
        </w:rPr>
        <w:t xml:space="preserve">• Step 18: AI Final Report &amp; Synthesis: </w:t>
      </w:r>
      <w:r>
        <w:rPr>
          <w:rFonts w:ascii="Calibri" w:hAnsi="Calibri"/>
          <w:color w:val="334155"/>
          <w:sz w:val="19"/>
        </w:rPr>
        <w:t>Synthesizes an executive diagnostic summary with concrete, copy-pasteable remediation code snippets for developers and downloads in PDF, JSON, and HTML formats.</w:t>
      </w:r>
    </w:p>
    <w:p/>
    <w:p>
      <w:pPr>
        <w:pStyle w:val="Heading1"/>
        <w:spacing w:before="280" w:after="120"/>
      </w:pPr>
      <w:r>
        <w:t>4. Key Architectural Innovations &amp; Differentiators</w:t>
      </w:r>
    </w:p>
    <w:p>
      <w:pPr>
        <w:pStyle w:val="Heading2"/>
        <w:spacing w:before="160" w:after="60"/>
      </w:pPr>
      <w:r>
        <w:t>A. Automated Authenticated Portal Testing (Zero Cookie-Copying)</w:t>
      </w:r>
    </w:p>
    <w:p>
      <w:pPr>
        <w:spacing w:line="276" w:lineRule="auto" w:after="120"/>
      </w:pPr>
      <w:r>
        <w:rPr>
          <w:rFonts w:ascii="Calibri" w:hAnsi="Calibri"/>
          <w:color w:val="334155"/>
          <w:sz w:val="20"/>
        </w:rPr>
        <w:t>Most security and quality scanners can only audit public marketing landing pages unless the user manually extracts and configures session cookies. AI Universal Website Tester features an integrated authenticated session engine (app.core.auth). It reads credentials safely from deployment environment variables (UWT_AUTH_USERNAME, UWT_AUTH_PASSWORD), autonomously completes login in an isolated browser context, captures the session cookies, and seamlessly navigates protected enterprise dashboards (such as GIS maps, Road Athena dashboards, and internal survey portals)—all while preserving non-destructive safety.</w:t>
      </w:r>
    </w:p>
    <w:p>
      <w:pPr>
        <w:pStyle w:val="Heading2"/>
        <w:spacing w:before="160" w:after="60"/>
      </w:pPr>
      <w:r>
        <w:t>B. Dynamic Viewport Sweep &amp; Lazy DOM Sweeping</w:t>
      </w:r>
    </w:p>
    <w:p>
      <w:pPr>
        <w:spacing w:line="276" w:lineRule="auto" w:after="120"/>
      </w:pPr>
      <w:r>
        <w:rPr>
          <w:rFonts w:ascii="Calibri" w:hAnsi="Calibri"/>
          <w:color w:val="334155"/>
          <w:sz w:val="20"/>
        </w:rPr>
        <w:t>Modern single-page applications (React, Angular, Leaflet/Mapbox GIS) do not render all controls on load. The crawler executes progressive vertical viewport sweeps ([SCROLLING %] Inspecting fields, widgets &amp; lazy DOM), deliberately triggering intersection observers, lazy-loaded components, and interactive menus before capturing DOM state.</w:t>
      </w:r>
    </w:p>
    <w:p>
      <w:pPr>
        <w:pStyle w:val="Heading2"/>
        <w:spacing w:before="160" w:after="60"/>
      </w:pPr>
      <w:r>
        <w:t>C. Non-Destructive Egress Safety Guard (mitmproxy)</w:t>
      </w:r>
    </w:p>
    <w:p>
      <w:pPr>
        <w:spacing w:line="276" w:lineRule="auto" w:after="120"/>
      </w:pPr>
      <w:r>
        <w:rPr>
          <w:rFonts w:ascii="Calibri" w:hAnsi="Calibri"/>
          <w:color w:val="334155"/>
          <w:sz w:val="20"/>
        </w:rPr>
        <w:t>Traditional penetration scanners blindly blast POST/PUT/DELETE payloads, corrupting databases and creating fake customer accounts. Our system routes browser and scanner traffic through an inline Python mitmproxy addon (tools/proxy/addon.py) that enforces:</w:t>
        <w:br/>
        <w:t>1. Method Restriction: Strictly permits GET, HEAD, and OPTIONS; instantly aborts mutation methods.</w:t>
        <w:br/>
        <w:t>2. Action Endpoint Blacklisting: Blocks destructive URLs containing words like /delete, /logout, /reset, /purchase.</w:t>
        <w:br/>
        <w:t>3. Static Asset &amp; CDN Allowlist: Grants seamless passthrough for safe styling, fonts, and scripts (Google Fonts, Tailwind, jsDelivr, Cloudflare, unpkg, upload.js) while isolating all outbound traffic to the approved target host.</w:t>
      </w:r>
    </w:p>
    <w:p>
      <w:pPr>
        <w:pStyle w:val="Heading2"/>
        <w:spacing w:before="160" w:after="60"/>
      </w:pPr>
      <w:r>
        <w:t>D. Deterministic Verification Engine (Zero AI Hallucinations)</w:t>
      </w:r>
    </w:p>
    <w:p>
      <w:pPr>
        <w:spacing w:line="276" w:lineRule="auto" w:after="120"/>
      </w:pPr>
      <w:r>
        <w:rPr>
          <w:rFonts w:ascii="Calibri" w:hAnsi="Calibri"/>
          <w:color w:val="334155"/>
          <w:sz w:val="20"/>
        </w:rPr>
        <w:t>AI models hallucinate when given open-ended tasks. In our architecture, the LLM is NEVER allowed to invent findings or alter diagnostic scores. Findings originate strictly from empirical scanner telemetry (Playwright errors, Axe-core rules, ZAP alerts). Each finding is assigned a machine-executable VerificationSpec (e.g., re-fetching the asset or evaluating the DOM). If the condition fails to reproduce, the finding is tagged as unconfirmed. The AI only summarizes and writes fix suggestions.</w:t>
      </w:r>
    </w:p>
    <w:p>
      <w:pPr>
        <w:pStyle w:val="Heading2"/>
        <w:spacing w:before="160" w:after="60"/>
      </w:pPr>
      <w:r>
        <w:t>E. Live Real-Time Cockpit &amp; SSE Streaming</w:t>
      </w:r>
    </w:p>
    <w:p>
      <w:pPr>
        <w:spacing w:line="276" w:lineRule="auto" w:after="120"/>
      </w:pPr>
      <w:r>
        <w:rPr>
          <w:rFonts w:ascii="Calibri" w:hAnsi="Calibri"/>
          <w:color w:val="334155"/>
          <w:sz w:val="20"/>
        </w:rPr>
        <w:t>Rather than showing a static spinner for 5 minutes, our frontend features a high-performance live diagnostic cockpit. Users see real-time Playwright viewport snapshots, live crawler radar showing mapped depth and visited paths, and an interactive log console powered by Server-Sent Events (SSE).</w:t>
      </w:r>
    </w:p>
    <w:p/>
    <w:p>
      <w:pPr>
        <w:pStyle w:val="Heading1"/>
        <w:spacing w:before="280" w:after="120"/>
      </w:pPr>
      <w:r>
        <w:t>5. Comprehensive Hackathon Q&amp;A Battlecard</w:t>
      </w:r>
    </w:p>
    <w:p>
      <w:pPr>
        <w:pStyle w:val="Heading2"/>
        <w:spacing w:before="160" w:after="80"/>
      </w:pPr>
      <w:r>
        <w:t>Category A: Questions from Judges (Business, Value &amp; Governance)</w:t>
      </w:r>
    </w:p>
    <w:p>
      <w:pPr>
        <w:spacing w:before="120" w:after="40"/>
      </w:pPr>
      <w:r>
        <w:rPr>
          <w:rFonts w:ascii="Calibri" w:hAnsi="Calibri"/>
          <w:b/>
          <w:color w:val="0F172A"/>
          <w:sz w:val="21"/>
        </w:rPr>
        <w:t>Q1: "What is the business value and market opportunity for this product?"</w:t>
      </w:r>
    </w:p>
    <w:tbl>
      <w:tblPr>
        <w:tblW w:type="auto" w:w="0"/>
        <w:jc w:val="center"/>
        <w:tblLayout w:type="fixed"/>
        <w:tblLook w:firstColumn="1" w:firstRow="1" w:lastColumn="0" w:lastRow="0" w:noHBand="0" w:noVBand="1" w:val="04A0"/>
      </w:tblPr>
      <w:tblGrid>
        <w:gridCol w:w="9936"/>
      </w:tblGrid>
      <w:tr>
        <w:tc>
          <w:tcPr>
            <w:tcW w:type="dxa" w:w="9360"/>
            <w:shd w:fill="F8FAFC"/>
            <w:tcMar>
              <w:top w:w="140" w:type="dxa"/>
              <w:bottom w:w="140" w:type="dxa"/>
              <w:left w:w="200" w:type="dxa"/>
              <w:right w:w="200" w:type="dxa"/>
            </w:tcMar>
            <w:tcBorders>
              <w:top w:val="none"/>
              <w:left w:val="single" w:sz="36" w:space="0" w:color="0F172A"/>
              <w:bottom w:val="none"/>
              <w:right w:val="none"/>
            </w:tcBorders>
          </w:tcPr>
          <w:p>
            <w:pPr>
              <w:spacing w:before="40" w:after="80" w:line="276" w:lineRule="auto"/>
            </w:pPr>
            <w:r>
              <w:rPr>
                <w:rFonts w:ascii="Calibri" w:hAnsi="Calibri"/>
                <w:color w:val="1E293B"/>
                <w:sz w:val="21"/>
              </w:rPr>
              <w:t>"Web agencies, SaaS providers, and enterprises spend tens of thousands of dollars annually subscribing to 4 to 6 separate tools—Snyk for security, Siteimprove for accessibility, SpeedCurve for performance, and manual QA contractors at $50–$100/hr. Our platform unifies all four domains into a single automated engine that finishes in 3 minutes instead of 3 days. More critically, it mitigates catastrophic legal risk (ADA/WCAG accessibility lawsuits average $10,000 to $50,000 per violation in the US) and directly stops mobile bounce rates caused by slow load times or broken checkout components."</w:t>
            </w:r>
          </w:p>
        </w:tc>
      </w:tr>
    </w:tbl>
    <w:p/>
    <w:p>
      <w:pPr>
        <w:spacing w:before="120" w:after="40"/>
      </w:pPr>
      <w:r>
        <w:rPr>
          <w:rFonts w:ascii="Calibri" w:hAnsi="Calibri"/>
          <w:b/>
          <w:color w:val="0F172A"/>
          <w:sz w:val="21"/>
        </w:rPr>
        <w:t>Q2: "How do you guarantee this will not break a customer's live website or corrupt their database?"</w:t>
      </w:r>
    </w:p>
    <w:tbl>
      <w:tblPr>
        <w:tblW w:type="auto" w:w="0"/>
        <w:jc w:val="center"/>
        <w:tblLayout w:type="fixed"/>
        <w:tblLook w:firstColumn="1" w:firstRow="1" w:lastColumn="0" w:lastRow="0" w:noHBand="0" w:noVBand="1" w:val="04A0"/>
      </w:tblPr>
      <w:tblGrid>
        <w:gridCol w:w="9936"/>
      </w:tblGrid>
      <w:tr>
        <w:tc>
          <w:tcPr>
            <w:tcW w:type="dxa" w:w="9360"/>
            <w:shd w:fill="F8FAFC"/>
            <w:tcMar>
              <w:top w:w="140" w:type="dxa"/>
              <w:bottom w:w="140" w:type="dxa"/>
              <w:left w:w="200" w:type="dxa"/>
              <w:right w:w="200" w:type="dxa"/>
            </w:tcMar>
            <w:tcBorders>
              <w:top w:val="none"/>
              <w:left w:val="single" w:sz="36" w:space="0" w:color="0F172A"/>
              <w:bottom w:val="none"/>
              <w:right w:val="none"/>
            </w:tcBorders>
          </w:tcPr>
          <w:p>
            <w:pPr>
              <w:spacing w:before="40" w:after="80" w:line="276" w:lineRule="auto"/>
            </w:pPr>
            <w:r>
              <w:rPr>
                <w:rFonts w:ascii="Calibri" w:hAnsi="Calibri"/>
                <w:color w:val="1E293B"/>
                <w:sz w:val="21"/>
              </w:rPr>
              <w:t>"This is our strongest architectural safeguard. Traditional web penetration tools send aggressive POST requests, SQL fuzzing, and form submissions that create thousands of fake database entries, trigger payment webhooks, or invalidate live sessions. We engineered a dual-layer safety mechanism: an inline mitmproxy egress guard combined with Playwright route interception. All non-GET requests, state-changing paths (/delete, /logout, /checkout), and external redirects are blocked at the network proxy layer before they ever reach the target server. It is mathematically non-destructive."</w:t>
            </w:r>
          </w:p>
        </w:tc>
      </w:tr>
    </w:tbl>
    <w:p/>
    <w:p>
      <w:pPr>
        <w:spacing w:before="120" w:after="40"/>
      </w:pPr>
      <w:r>
        <w:rPr>
          <w:rFonts w:ascii="Calibri" w:hAnsi="Calibri"/>
          <w:b/>
          <w:color w:val="0F172A"/>
          <w:sz w:val="21"/>
        </w:rPr>
        <w:t>Q3: "Can this test modern enterprise portals behind a login screen?"</w:t>
      </w:r>
    </w:p>
    <w:tbl>
      <w:tblPr>
        <w:tblW w:type="auto" w:w="0"/>
        <w:jc w:val="center"/>
        <w:tblLayout w:type="fixed"/>
        <w:tblLook w:firstColumn="1" w:firstRow="1" w:lastColumn="0" w:lastRow="0" w:noHBand="0" w:noVBand="1" w:val="04A0"/>
      </w:tblPr>
      <w:tblGrid>
        <w:gridCol w:w="9936"/>
      </w:tblGrid>
      <w:tr>
        <w:tc>
          <w:tcPr>
            <w:tcW w:type="dxa" w:w="9360"/>
            <w:shd w:fill="F8FAFC"/>
            <w:tcMar>
              <w:top w:w="140" w:type="dxa"/>
              <w:bottom w:w="140" w:type="dxa"/>
              <w:left w:w="200" w:type="dxa"/>
              <w:right w:w="200" w:type="dxa"/>
            </w:tcMar>
            <w:tcBorders>
              <w:top w:val="none"/>
              <w:left w:val="single" w:sz="36" w:space="0" w:color="0F172A"/>
              <w:bottom w:val="none"/>
              <w:right w:val="none"/>
            </w:tcBorders>
          </w:tcPr>
          <w:p>
            <w:pPr>
              <w:spacing w:before="40" w:after="80" w:line="276" w:lineRule="auto"/>
            </w:pPr>
            <w:r>
              <w:rPr>
                <w:rFonts w:ascii="Calibri" w:hAnsi="Calibri"/>
                <w:color w:val="1E293B"/>
                <w:sz w:val="21"/>
              </w:rPr>
              <w:t>"Yes! Most scanners fail completely when encountering login gates or require clumsy manual copying of cookies from browser DevTools. Our engine incorporates automated credential handling: it uses Playwright to perform automated login in an isolated sandbox, captures session cookies, and crawls authenticated portals (such as Road Athena GIS dashboards or survey admin tools) while strictly adhering to non-destructive GET testing."</w:t>
            </w:r>
          </w:p>
        </w:tc>
      </w:tr>
    </w:tbl>
    <w:p/>
    <w:p>
      <w:pPr>
        <w:spacing w:before="120" w:after="40"/>
      </w:pPr>
      <w:r>
        <w:rPr>
          <w:rFonts w:ascii="Calibri" w:hAnsi="Calibri"/>
          <w:b/>
          <w:color w:val="0F172A"/>
          <w:sz w:val="21"/>
        </w:rPr>
        <w:t>Q4: "Why not simply run Google Lighthouse or OWASP ZAP directly?"</w:t>
      </w:r>
    </w:p>
    <w:tbl>
      <w:tblPr>
        <w:tblW w:type="auto" w:w="0"/>
        <w:jc w:val="center"/>
        <w:tblLayout w:type="fixed"/>
        <w:tblLook w:firstColumn="1" w:firstRow="1" w:lastColumn="0" w:lastRow="0" w:noHBand="0" w:noVBand="1" w:val="04A0"/>
      </w:tblPr>
      <w:tblGrid>
        <w:gridCol w:w="9936"/>
      </w:tblGrid>
      <w:tr>
        <w:tc>
          <w:tcPr>
            <w:tcW w:type="dxa" w:w="9360"/>
            <w:shd w:fill="F8FAFC"/>
            <w:tcMar>
              <w:top w:w="140" w:type="dxa"/>
              <w:bottom w:w="140" w:type="dxa"/>
              <w:left w:w="200" w:type="dxa"/>
              <w:right w:w="200" w:type="dxa"/>
            </w:tcMar>
            <w:tcBorders>
              <w:top w:val="none"/>
              <w:left w:val="single" w:sz="36" w:space="0" w:color="0F172A"/>
              <w:bottom w:val="none"/>
              <w:right w:val="none"/>
            </w:tcBorders>
          </w:tcPr>
          <w:p>
            <w:pPr>
              <w:spacing w:before="40" w:after="80" w:line="276" w:lineRule="auto"/>
            </w:pPr>
            <w:r>
              <w:rPr>
                <w:rFonts w:ascii="Calibri" w:hAnsi="Calibri"/>
                <w:color w:val="1E293B"/>
                <w:sz w:val="21"/>
              </w:rPr>
              <w:t>"Lighthouse only evaluates a single static URL; it cannot crawl multi-page user journeys, find JavaScript console bugs, test form validations, or check server security headers. Conversely, OWASP ZAP only inspects security and generates hundreds of false positives that overwhelm non-technical founders. We combine the best open-source diagnostic engines, deduplicate findings through deterministic code verification, and use local AI to translate technical findings into plain-English, copy-pasteable remediation advice."</w:t>
            </w:r>
          </w:p>
        </w:tc>
      </w:tr>
    </w:tbl>
    <w:p/>
    <w:p>
      <w:pPr>
        <w:pStyle w:val="Heading2"/>
        <w:spacing w:before="240" w:after="80"/>
      </w:pPr>
      <w:r>
        <w:t>Category B: Questions from Developers &amp; Technical Evaluators</w:t>
      </w:r>
    </w:p>
    <w:p>
      <w:pPr>
        <w:spacing w:before="120" w:after="40"/>
      </w:pPr>
      <w:r>
        <w:rPr>
          <w:rFonts w:ascii="Calibri" w:hAnsi="Calibri"/>
          <w:b/>
          <w:color w:val="0F172A"/>
          <w:sz w:val="21"/>
        </w:rPr>
        <w:t>Q1: "How do you crawl modern SPAs (React, Vue, Next.js) where traditional HTTP scrapers fail?"</w:t>
      </w:r>
    </w:p>
    <w:tbl>
      <w:tblPr>
        <w:tblW w:type="auto" w:w="0"/>
        <w:jc w:val="center"/>
        <w:tblLayout w:type="fixed"/>
        <w:tblLook w:firstColumn="1" w:firstRow="1" w:lastColumn="0" w:lastRow="0" w:noHBand="0" w:noVBand="1" w:val="04A0"/>
      </w:tblPr>
      <w:tblGrid>
        <w:gridCol w:w="9936"/>
      </w:tblGrid>
      <w:tr>
        <w:tc>
          <w:tcPr>
            <w:tcW w:type="dxa" w:w="9360"/>
            <w:shd w:fill="F0F9FF"/>
            <w:tcMar>
              <w:top w:w="140" w:type="dxa"/>
              <w:bottom w:w="140" w:type="dxa"/>
              <w:left w:w="200" w:type="dxa"/>
              <w:right w:w="200" w:type="dxa"/>
            </w:tcMar>
            <w:tcBorders>
              <w:top w:val="none"/>
              <w:left w:val="single" w:sz="36" w:space="0" w:color="0284C7"/>
              <w:bottom w:val="none"/>
              <w:right w:val="none"/>
            </w:tcBorders>
          </w:tcPr>
          <w:p>
            <w:pPr>
              <w:spacing w:before="40" w:after="80" w:line="276" w:lineRule="auto"/>
            </w:pPr>
            <w:r>
              <w:rPr>
                <w:rFonts w:ascii="Calibri" w:hAnsi="Calibri"/>
                <w:color w:val="1E293B"/>
                <w:sz w:val="21"/>
              </w:rPr>
              <w:t>"Traditional crawlers use simple HTML parsers (BeautifulSoup, Cheerio) that see empty &lt;div id='root'&gt;&lt;/div&gt; shells. We execute real headless Chromium instances via Playwright. Rather than using brittle fixed sleeps (like sleep(5)), we engineered a dynamic DOM-stability heuristic (load-event-plus-dom-stability in browser.py) that samples DOM child counts, text length, and interactive controls until client hydration completes. Furthermore, our reveal_navigation routine actively identifies and expands interactive hamburger menus and aria-haspopup elements to uncover hidden routes."</w:t>
            </w:r>
          </w:p>
        </w:tc>
      </w:tr>
    </w:tbl>
    <w:p/>
    <w:p>
      <w:pPr>
        <w:spacing w:before="120" w:after="40"/>
      </w:pPr>
      <w:r>
        <w:rPr>
          <w:rFonts w:ascii="Calibri" w:hAnsi="Calibri"/>
          <w:b/>
          <w:color w:val="0F172A"/>
          <w:sz w:val="21"/>
        </w:rPr>
        <w:t>Q2: "How do you prevent the local LLM from hallucinating fake security vulnerabilities?"</w:t>
      </w:r>
    </w:p>
    <w:tbl>
      <w:tblPr>
        <w:tblW w:type="auto" w:w="0"/>
        <w:jc w:val="center"/>
        <w:tblLayout w:type="fixed"/>
        <w:tblLook w:firstColumn="1" w:firstRow="1" w:lastColumn="0" w:lastRow="0" w:noHBand="0" w:noVBand="1" w:val="04A0"/>
      </w:tblPr>
      <w:tblGrid>
        <w:gridCol w:w="9936"/>
      </w:tblGrid>
      <w:tr>
        <w:tc>
          <w:tcPr>
            <w:tcW w:type="dxa" w:w="9360"/>
            <w:shd w:fill="F0F9FF"/>
            <w:tcMar>
              <w:top w:w="140" w:type="dxa"/>
              <w:bottom w:w="140" w:type="dxa"/>
              <w:left w:w="200" w:type="dxa"/>
              <w:right w:w="200" w:type="dxa"/>
            </w:tcMar>
            <w:tcBorders>
              <w:top w:val="none"/>
              <w:left w:val="single" w:sz="36" w:space="0" w:color="0284C7"/>
              <w:bottom w:val="none"/>
              <w:right w:val="none"/>
            </w:tcBorders>
          </w:tcPr>
          <w:p>
            <w:pPr>
              <w:spacing w:before="40" w:after="80" w:line="276" w:lineRule="auto"/>
            </w:pPr>
            <w:r>
              <w:rPr>
                <w:rFonts w:ascii="Calibri" w:hAnsi="Calibri"/>
                <w:color w:val="1E293B"/>
                <w:sz w:val="21"/>
              </w:rPr>
              <w:t>"We enforce an immutable Observe → Verify → Explain pipeline: 1. Raw scanners (Playwright, Axe-core, Nuclei, ZAP) collect empirical evidence. 2. The VerificationSpec engine deterministically re-runs the exact check (re-fetching HTTP status, checking console traces, or verifying image decodes). 3. Findings are strictly classified as Verified (confirmed by deterministic code) or Possible (heuristic). 4. The local LLM (Qwen2.5) receives only validated finding schemas; its role is strictly to explain business impact and write remediation code, never to inject new findings."</w:t>
            </w:r>
          </w:p>
        </w:tc>
      </w:tr>
    </w:tbl>
    <w:p/>
    <w:p>
      <w:pPr>
        <w:spacing w:before="120" w:after="40"/>
      </w:pPr>
      <w:r>
        <w:rPr>
          <w:rFonts w:ascii="Calibri" w:hAnsi="Calibri"/>
          <w:b/>
          <w:color w:val="0F172A"/>
          <w:sz w:val="21"/>
        </w:rPr>
        <w:t>Q3: "What happens if Ollama crashes or the host lacks a GPU?"</w:t>
      </w:r>
    </w:p>
    <w:tbl>
      <w:tblPr>
        <w:tblW w:type="auto" w:w="0"/>
        <w:jc w:val="center"/>
        <w:tblLayout w:type="fixed"/>
        <w:tblLook w:firstColumn="1" w:firstRow="1" w:lastColumn="0" w:lastRow="0" w:noHBand="0" w:noVBand="1" w:val="04A0"/>
      </w:tblPr>
      <w:tblGrid>
        <w:gridCol w:w="9936"/>
      </w:tblGrid>
      <w:tr>
        <w:tc>
          <w:tcPr>
            <w:tcW w:type="dxa" w:w="9360"/>
            <w:shd w:fill="F0F9FF"/>
            <w:tcMar>
              <w:top w:w="140" w:type="dxa"/>
              <w:bottom w:w="140" w:type="dxa"/>
              <w:left w:w="200" w:type="dxa"/>
              <w:right w:w="200" w:type="dxa"/>
            </w:tcMar>
            <w:tcBorders>
              <w:top w:val="none"/>
              <w:left w:val="single" w:sz="36" w:space="0" w:color="0284C7"/>
              <w:bottom w:val="none"/>
              <w:right w:val="none"/>
            </w:tcBorders>
          </w:tcPr>
          <w:p>
            <w:pPr>
              <w:spacing w:before="40" w:after="80" w:line="276" w:lineRule="auto"/>
            </w:pPr>
            <w:r>
              <w:rPr>
                <w:rFonts w:ascii="Calibri" w:hAnsi="Calibri"/>
                <w:color w:val="1E293B"/>
                <w:sz w:val="21"/>
              </w:rPr>
              <w:t>"The entire system is designed for graceful degradation. Local AI is an enhancement layer, not a hard dependency. If Ollama is offline or times out, the core test pipeline (Playwright, Axe-core, Lighthouse, ZAP, Locust) continues to run normally, deterministic fallback rules generate standard remediation advice, and the final report transparently indicates an 'AI Skipped' badge without halting the scan."</w:t>
            </w:r>
          </w:p>
        </w:tc>
      </w:tr>
    </w:tbl>
    <w:p/>
    <w:p>
      <w:pPr>
        <w:spacing w:before="120" w:after="40"/>
      </w:pPr>
      <w:r>
        <w:rPr>
          <w:rFonts w:ascii="Calibri" w:hAnsi="Calibri"/>
          <w:b/>
          <w:color w:val="0F172A"/>
          <w:sz w:val="21"/>
        </w:rPr>
        <w:t>Q4: "How do you handle heavy GIS maps or slow third-party CDNs without timing out the crawl?"</w:t>
      </w:r>
    </w:p>
    <w:tbl>
      <w:tblPr>
        <w:tblW w:type="auto" w:w="0"/>
        <w:jc w:val="center"/>
        <w:tblLayout w:type="fixed"/>
        <w:tblLook w:firstColumn="1" w:firstRow="1" w:lastColumn="0" w:lastRow="0" w:noHBand="0" w:noVBand="1" w:val="04A0"/>
      </w:tblPr>
      <w:tblGrid>
        <w:gridCol w:w="9936"/>
      </w:tblGrid>
      <w:tr>
        <w:tc>
          <w:tcPr>
            <w:tcW w:type="dxa" w:w="9360"/>
            <w:shd w:fill="F0F9FF"/>
            <w:tcMar>
              <w:top w:w="140" w:type="dxa"/>
              <w:bottom w:w="140" w:type="dxa"/>
              <w:left w:w="200" w:type="dxa"/>
              <w:right w:w="200" w:type="dxa"/>
            </w:tcMar>
            <w:tcBorders>
              <w:top w:val="none"/>
              <w:left w:val="single" w:sz="36" w:space="0" w:color="0284C7"/>
              <w:bottom w:val="none"/>
              <w:right w:val="none"/>
            </w:tcBorders>
          </w:tcPr>
          <w:p>
            <w:pPr>
              <w:spacing w:before="40" w:after="80" w:line="276" w:lineRule="auto"/>
            </w:pPr>
            <w:r>
              <w:rPr>
                <w:rFonts w:ascii="Calibri" w:hAnsi="Calibri"/>
                <w:color w:val="1E293B"/>
                <w:sz w:val="21"/>
              </w:rPr>
              <w:t>"In modern web apps (like GIS dashboards), external tile servers, font providers, or analytics scripts often keep network sockets open indefinitely. We avoid network-idle waiting and employ a resilient navigation strategy: once the main document commits and the DOM initializes, we sample DOM stability. If a third-party stylesheet stalls, the browser gracefully recovers rather than dropping the page."</w:t>
            </w:r>
          </w:p>
        </w:tc>
      </w:tr>
    </w:tbl>
    <w:p/>
    <w:p>
      <w:pPr>
        <w:pStyle w:val="Heading2"/>
        <w:spacing w:before="240" w:after="80"/>
      </w:pPr>
      <w:r>
        <w:t>Category C: Questions from General Users &amp; Non-Technical Founders</w:t>
      </w:r>
    </w:p>
    <w:p>
      <w:pPr>
        <w:spacing w:before="120" w:after="40"/>
      </w:pPr>
      <w:r>
        <w:rPr>
          <w:rFonts w:ascii="Calibri" w:hAnsi="Calibri"/>
          <w:b/>
          <w:color w:val="0F172A"/>
          <w:sz w:val="21"/>
        </w:rPr>
        <w:t>Q1: "In plain English, what does this tool do for my business?"</w:t>
      </w:r>
    </w:p>
    <w:tbl>
      <w:tblPr>
        <w:tblW w:type="auto" w:w="0"/>
        <w:jc w:val="center"/>
        <w:tblLayout w:type="fixed"/>
        <w:tblLook w:firstColumn="1" w:firstRow="1" w:lastColumn="0" w:lastRow="0" w:noHBand="0" w:noVBand="1" w:val="04A0"/>
      </w:tblPr>
      <w:tblGrid>
        <w:gridCol w:w="9936"/>
      </w:tblGrid>
      <w:tr>
        <w:tc>
          <w:tcPr>
            <w:tcW w:type="dxa" w:w="9360"/>
            <w:shd w:fill="F0FDFA"/>
            <w:tcMar>
              <w:top w:w="140" w:type="dxa"/>
              <w:bottom w:w="140" w:type="dxa"/>
              <w:left w:w="200" w:type="dxa"/>
              <w:right w:w="200" w:type="dxa"/>
            </w:tcMar>
            <w:tcBorders>
              <w:top w:val="none"/>
              <w:left w:val="single" w:sz="36" w:space="0" w:color="0D9488"/>
              <w:bottom w:val="none"/>
              <w:right w:val="none"/>
            </w:tcBorders>
          </w:tcPr>
          <w:p>
            <w:pPr>
              <w:spacing w:before="40" w:after="80" w:line="276" w:lineRule="auto"/>
            </w:pPr>
            <w:r>
              <w:rPr>
                <w:rFonts w:ascii="Calibri" w:hAnsi="Calibri"/>
                <w:color w:val="1E293B"/>
                <w:sz w:val="21"/>
              </w:rPr>
              <w:t>"Think of it as an automated MRI for your website. You enter your website URL, and in 3 minutes it scans every page and answers four critical questions:</w:t>
              <w:br/>
              <w:t>1. Is anything broken, crashing, or clicking to a dead page?</w:t>
              <w:br/>
              <w:t>2. Can hackers exploit your site or steal user data?</w:t>
              <w:br/>
              <w:t>3. Is your website fast enough on mobile so customers don't abandon you?</w:t>
              <w:br/>
              <w:t>4. Can elderly people or people with visual disabilities use your site without trouble?</w:t>
              <w:br/>
              <w:t>Then, instead of confusing error codes, it gives you a clean report showing exactly how to fix each issue."</w:t>
            </w:r>
          </w:p>
        </w:tc>
      </w:tr>
    </w:tbl>
    <w:p/>
    <w:p>
      <w:pPr>
        <w:spacing w:before="120" w:after="40"/>
      </w:pPr>
      <w:r>
        <w:rPr>
          <w:rFonts w:ascii="Calibri" w:hAnsi="Calibri"/>
          <w:b/>
          <w:color w:val="0F172A"/>
          <w:sz w:val="21"/>
        </w:rPr>
        <w:t>Q2: "Why should I care about Accessibility (WCAG) if my site looks fine to me?"</w:t>
      </w:r>
    </w:p>
    <w:tbl>
      <w:tblPr>
        <w:tblW w:type="auto" w:w="0"/>
        <w:jc w:val="center"/>
        <w:tblLayout w:type="fixed"/>
        <w:tblLook w:firstColumn="1" w:firstRow="1" w:lastColumn="0" w:lastRow="0" w:noHBand="0" w:noVBand="1" w:val="04A0"/>
      </w:tblPr>
      <w:tblGrid>
        <w:gridCol w:w="9936"/>
      </w:tblGrid>
      <w:tr>
        <w:tc>
          <w:tcPr>
            <w:tcW w:type="dxa" w:w="9360"/>
            <w:shd w:fill="F0FDFA"/>
            <w:tcMar>
              <w:top w:w="140" w:type="dxa"/>
              <w:bottom w:w="140" w:type="dxa"/>
              <w:left w:w="200" w:type="dxa"/>
              <w:right w:w="200" w:type="dxa"/>
            </w:tcMar>
            <w:tcBorders>
              <w:top w:val="none"/>
              <w:left w:val="single" w:sz="36" w:space="0" w:color="0D9488"/>
              <w:bottom w:val="none"/>
              <w:right w:val="none"/>
            </w:tcBorders>
          </w:tcPr>
          <w:p>
            <w:pPr>
              <w:spacing w:before="40" w:after="80" w:line="276" w:lineRule="auto"/>
            </w:pPr>
            <w:r>
              <w:rPr>
                <w:rFonts w:ascii="Calibri" w:hAnsi="Calibri"/>
                <w:color w:val="1E293B"/>
                <w:sz w:val="21"/>
              </w:rPr>
              <w:t>"Over 15% of the global population lives with some form of visual, motor, or auditory impairment. If your buttons lack labels or your text contrast is poor, visually impaired users relying on screen readers cannot use your service. Furthermore, search engines like Google rank accessible websites higher, and in many jurisdictions (including the US and EU), accessibility compliance is legally mandated with strict fines."</w:t>
            </w:r>
          </w:p>
        </w:tc>
      </w:tr>
    </w:tbl>
    <w:p/>
    <w:p>
      <w:pPr>
        <w:spacing w:before="120" w:after="40"/>
      </w:pPr>
      <w:r>
        <w:rPr>
          <w:rFonts w:ascii="Calibri" w:hAnsi="Calibri"/>
          <w:b/>
          <w:color w:val="0F172A"/>
          <w:sz w:val="21"/>
        </w:rPr>
        <w:t>Q3: "How does fixing these issues increase my revenue?"</w:t>
      </w:r>
    </w:p>
    <w:tbl>
      <w:tblPr>
        <w:tblW w:type="auto" w:w="0"/>
        <w:jc w:val="center"/>
        <w:tblLayout w:type="fixed"/>
        <w:tblLook w:firstColumn="1" w:firstRow="1" w:lastColumn="0" w:lastRow="0" w:noHBand="0" w:noVBand="1" w:val="04A0"/>
      </w:tblPr>
      <w:tblGrid>
        <w:gridCol w:w="9936"/>
      </w:tblGrid>
      <w:tr>
        <w:tc>
          <w:tcPr>
            <w:tcW w:type="dxa" w:w="9360"/>
            <w:shd w:fill="F0FDFA"/>
            <w:tcMar>
              <w:top w:w="140" w:type="dxa"/>
              <w:bottom w:w="140" w:type="dxa"/>
              <w:left w:w="200" w:type="dxa"/>
              <w:right w:w="200" w:type="dxa"/>
            </w:tcMar>
            <w:tcBorders>
              <w:top w:val="none"/>
              <w:left w:val="single" w:sz="36" w:space="0" w:color="0D9488"/>
              <w:bottom w:val="none"/>
              <w:right w:val="none"/>
            </w:tcBorders>
          </w:tcPr>
          <w:p>
            <w:pPr>
              <w:spacing w:before="40" w:after="80" w:line="276" w:lineRule="auto"/>
            </w:pPr>
            <w:r>
              <w:rPr>
                <w:rFonts w:ascii="Calibri" w:hAnsi="Calibri"/>
                <w:color w:val="1E293B"/>
                <w:sz w:val="21"/>
              </w:rPr>
              <w:t>"Studies prove that every 1-second delay in page load time drops mobile conversion rates by up to 20%. Our performance and functionality pillars catch sluggish backend queries, broken payment buttons, and mobile layout shifts that cause users to bounce to competitors. Fixing these directly improves your Google SEO rank, customer trust, and checkout completion."</w:t>
            </w:r>
          </w:p>
        </w:tc>
      </w:tr>
    </w:tbl>
    <w:p/>
    <w:p>
      <w:pPr>
        <w:pStyle w:val="Heading1"/>
        <w:spacing w:before="280" w:after="120"/>
      </w:pPr>
      <w:r>
        <w:t>6. Winning Hackathon Slide Deck Blueprint (6 Slides)</w:t>
      </w:r>
    </w:p>
    <w:p>
      <w:pPr>
        <w:spacing w:before="80" w:after="40"/>
      </w:pPr>
      <w:r>
        <w:rPr>
          <w:rFonts w:ascii="Calibri" w:hAnsi="Calibri"/>
          <w:b/>
          <w:color w:val="0F172A"/>
          <w:sz w:val="20"/>
        </w:rPr>
        <w:t xml:space="preserve">• Slide 1 — The Hook &amp; Title: </w:t>
      </w:r>
      <w:r>
        <w:rPr>
          <w:rFonts w:ascii="Calibri" w:hAnsi="Calibri"/>
          <w:color w:val="334155"/>
          <w:sz w:val="19"/>
        </w:rPr>
        <w:t>AI Universal Website Tester: Zero-Install, Non-Destructive 4-Pillar Website Diagnostics.</w:t>
        <w:br/>
        <w:t>Key Message: The first open-source diagnostic engine that audits code, security, speed, and accessibility in 3 minutes without risking site damage.</w:t>
      </w:r>
    </w:p>
    <w:p>
      <w:pPr>
        <w:spacing w:before="80" w:after="40"/>
      </w:pPr>
      <w:r>
        <w:rPr>
          <w:rFonts w:ascii="Calibri" w:hAnsi="Calibri"/>
          <w:b/>
          <w:color w:val="0F172A"/>
          <w:sz w:val="20"/>
        </w:rPr>
        <w:t xml:space="preserve">• Slide 2 — The Industry Problem: </w:t>
      </w:r>
      <w:r>
        <w:rPr>
          <w:rFonts w:ascii="Calibri" w:hAnsi="Calibri"/>
          <w:color w:val="334155"/>
          <w:sz w:val="19"/>
        </w:rPr>
        <w:t>Teams currently juggle 5 disjointed tools (Lighthouse, ZAP, Axe, Locust, manual QA). Traditional scanners are dangerous (submitting fake orders or deleting data) and SaaS tools are expensive ($5k+/yr).</w:t>
      </w:r>
    </w:p>
    <w:p>
      <w:pPr>
        <w:spacing w:before="80" w:after="40"/>
      </w:pPr>
      <w:r>
        <w:rPr>
          <w:rFonts w:ascii="Calibri" w:hAnsi="Calibri"/>
          <w:b/>
          <w:color w:val="0F172A"/>
          <w:sz w:val="20"/>
        </w:rPr>
        <w:t xml:space="preserve">• Slide 3 — The Unified Architecture: </w:t>
      </w:r>
      <w:r>
        <w:rPr>
          <w:rFonts w:ascii="Calibri" w:hAnsi="Calibri"/>
          <w:color w:val="334155"/>
          <w:sz w:val="19"/>
        </w:rPr>
        <w:t>Diagram showing Playwright Crawler + mitmproxy Safety Guard + Axe-core + Lighthouse + Qwen2.5 Local AI. Highlight: Non-destructive GET policy + deterministic verification engine (zero AI hallucinations).</w:t>
      </w:r>
    </w:p>
    <w:p>
      <w:pPr>
        <w:spacing w:before="80" w:after="40"/>
      </w:pPr>
      <w:r>
        <w:rPr>
          <w:rFonts w:ascii="Calibri" w:hAnsi="Calibri"/>
          <w:b/>
          <w:color w:val="0F172A"/>
          <w:sz w:val="20"/>
        </w:rPr>
        <w:t xml:space="preserve">• Slide 4 — Live Product Demonstration: </w:t>
      </w:r>
      <w:r>
        <w:rPr>
          <w:rFonts w:ascii="Calibri" w:hAnsi="Calibri"/>
          <w:color w:val="334155"/>
          <w:sz w:val="19"/>
        </w:rPr>
        <w:t>Show the Live Cockpit: real-time Playwright frame streaming, live crawler radar mapping pages, and the 4-pillar scorecards updating dynamically.</w:t>
      </w:r>
    </w:p>
    <w:p>
      <w:pPr>
        <w:spacing w:before="80" w:after="40"/>
      </w:pPr>
      <w:r>
        <w:rPr>
          <w:rFonts w:ascii="Calibri" w:hAnsi="Calibri"/>
          <w:b/>
          <w:color w:val="0F172A"/>
          <w:sz w:val="20"/>
        </w:rPr>
        <w:t xml:space="preserve">• Slide 5 — Competitive Moat ('Unfair Advantages'): </w:t>
      </w:r>
      <w:r>
        <w:rPr>
          <w:rFonts w:ascii="Calibri" w:hAnsi="Calibri"/>
          <w:color w:val="334155"/>
          <w:sz w:val="19"/>
        </w:rPr>
        <w:t>Feature comparison table: Safe by Design (mitmproxy), Authenticated Portal Testing (Playwright session isolation), 100% Free &amp; Open Source Local AI (Ollama Qwen2.5), Deterministic Verification Spec.</w:t>
      </w:r>
    </w:p>
    <w:p>
      <w:pPr>
        <w:spacing w:before="80" w:after="40"/>
      </w:pPr>
      <w:r>
        <w:rPr>
          <w:rFonts w:ascii="Calibri" w:hAnsi="Calibri"/>
          <w:b/>
          <w:color w:val="0F172A"/>
          <w:sz w:val="20"/>
        </w:rPr>
        <w:t xml:space="preserve">• Slide 6 — Impact &amp; Roadmap: </w:t>
      </w:r>
      <w:r>
        <w:rPr>
          <w:rFonts w:ascii="Calibri" w:hAnsi="Calibri"/>
          <w:color w:val="334155"/>
          <w:sz w:val="19"/>
        </w:rPr>
        <w:t>Commercial impact: Saves $50k+ in QA and legal ADA fines; improves SEO and conversions. Roadmap: Automated GitHub CI/CD action, self-healing PR generation, and enterprise multi-tenant scheduling.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