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Health, Safety and Environment Policy</w:t>
      </w:r>
    </w:p>
    <w:p>
      <w:r>
        <w:rPr>
          <w:b/>
          <w:bCs/>
          <w:color w:val="1F3864"/>
          <w:sz w:val="26"/>
          <w:szCs w:val="26"/>
        </w:rPr>
        <w:t xml:space="preserve">Site-Wide HSE Policy and Incident Reporting Procedure</w:t>
      </w:r>
    </w:p>
    <w:p>
      <w:r>
        <w:rPr>
          <w:color w:val="555555"/>
          <w:sz w:val="18"/>
          <w:szCs w:val="18"/>
        </w:rPr>
        <w:t xml:space="preserve">Document No: HSE-POL-01   |   Revision: 5   |   Effective Date: 01 Jan 2026</w:t>
      </w:r>
    </w:p>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2000"/>
        <w:gridCol w:w="2238"/>
      </w:tblGrid>
      <w:tr>
        <w:tc>
          <w:tcPr>
            <w:tcW w:type="dxa" w:w="2400"/>
            <w:shd w:fill="F2F2F2" w:val="clear"/>
          </w:tcPr>
          <w:p>
            <w:r>
              <w:rPr>
                <w:b/>
                <w:bCs/>
              </w:rPr>
              <w:t xml:space="preserve">Applies To</w:t>
            </w:r>
          </w:p>
        </w:tc>
        <w:tc>
          <w:tcPr>
            <w:tcW w:type="dxa" w:w="3000"/>
          </w:tcPr>
          <w:p>
            <w:r>
              <w:rPr>
                <w:b w:val="false"/>
                <w:bCs w:val="false"/>
              </w:rPr>
              <w:t xml:space="preserve">All site personnel and contractors</w:t>
            </w:r>
          </w:p>
        </w:tc>
        <w:tc>
          <w:tcPr>
            <w:tcW w:type="dxa" w:w="2000"/>
            <w:shd w:fill="F2F2F2" w:val="clear"/>
          </w:tcPr>
          <w:p>
            <w:r>
              <w:rPr>
                <w:b/>
                <w:bCs/>
              </w:rPr>
              <w:t xml:space="preserve">Owner</w:t>
            </w:r>
          </w:p>
        </w:tc>
        <w:tc>
          <w:tcPr>
            <w:tcW w:type="dxa" w:w="2238"/>
          </w:tcPr>
          <w:p>
            <w:r>
              <w:rPr>
                <w:b w:val="false"/>
                <w:bCs w:val="false"/>
              </w:rPr>
              <w:t xml:space="preserve">Process Safety &amp; HSE</w:t>
            </w:r>
          </w:p>
        </w:tc>
      </w:tr>
      <w:tr>
        <w:tc>
          <w:tcPr>
            <w:tcW w:type="dxa" w:w="2400"/>
            <w:shd w:fill="F2F2F2" w:val="clear"/>
          </w:tcPr>
          <w:p>
            <w:r>
              <w:rPr>
                <w:b/>
                <w:bCs/>
              </w:rPr>
              <w:t xml:space="preserve">Approved By</w:t>
            </w:r>
          </w:p>
        </w:tc>
        <w:tc>
          <w:tcPr>
            <w:tcW w:type="dxa" w:w="3000"/>
          </w:tcPr>
          <w:p>
            <w:r>
              <w:rPr>
                <w:b w:val="false"/>
                <w:bCs w:val="false"/>
              </w:rPr>
              <w:t xml:space="preserve">HSE Manager</w:t>
            </w:r>
          </w:p>
        </w:tc>
        <w:tc>
          <w:tcPr>
            <w:tcW w:type="dxa" w:w="2000"/>
            <w:shd w:fill="F2F2F2" w:val="clear"/>
          </w:tcPr>
          <w:p>
            <w:r>
              <w:rPr>
                <w:b/>
                <w:bCs/>
              </w:rPr>
              <w:t xml:space="preserve">Review Cycle</w:t>
            </w:r>
          </w:p>
        </w:tc>
        <w:tc>
          <w:tcPr>
            <w:tcW w:type="dxa" w:w="2238"/>
          </w:tcPr>
          <w:p>
            <w:r>
              <w:rPr>
                <w:b w:val="false"/>
                <w:bCs w:val="false"/>
              </w:rPr>
              <w:t xml:space="preserve">Annual</w:t>
            </w:r>
          </w:p>
        </w:tc>
      </w:tr>
    </w:tbl>
    <w:p/>
    <w:p>
      <w:pPr>
        <w:pStyle w:val="Heading1"/>
      </w:pPr>
      <w:r>
        <w:t xml:space="preserve">1. Policy Statement</w:t>
      </w:r>
    </w:p>
    <w:p>
      <w:r>
        <w:t xml:space="preserve">The refinery is committed to a zero-harm workplace. Every employee, contractor, and visitor has both the authority and the responsibility to stop any activity they believe to be unsafe, without fear of reprisal. Safety performance is reviewed at the same level of priority as production and quality performance.</w:t>
      </w:r>
    </w:p>
    <w:p>
      <w:pPr>
        <w:pStyle w:val="Heading1"/>
      </w:pPr>
      <w:r>
        <w:t xml:space="preserve">2. Personal Protective Equipment (PPE)</w:t>
      </w:r>
    </w:p>
    <w:p>
      <w:pPr>
        <w:pStyle w:val="ListParagraph"/>
        <w:numPr>
          <w:ilvl w:val="0"/>
          <w:numId w:val="1"/>
        </w:numPr>
      </w:pPr>
      <w:r>
        <w:t xml:space="preserve">Hard hat, safety glasses, and steel-toe footwear are mandatory in all process areas (Crude Distillation Unit, Vacuum Distillation Unit, Fluid Catalytic Cracker, Hydrotreater, and Tank Farm).</w:t>
      </w:r>
    </w:p>
    <w:p>
      <w:pPr>
        <w:pStyle w:val="ListParagraph"/>
        <w:numPr>
          <w:ilvl w:val="0"/>
          <w:numId w:val="1"/>
        </w:numPr>
      </w:pPr>
      <w:r>
        <w:t xml:space="preserve">Flame-resistant coveralls are mandatory for all Process Operations and Maintenance &amp; Reliability personnel while inside a process zone.</w:t>
      </w:r>
    </w:p>
    <w:p>
      <w:pPr>
        <w:pStyle w:val="ListParagraph"/>
        <w:numPr>
          <w:ilvl w:val="0"/>
          <w:numId w:val="1"/>
        </w:numPr>
      </w:pPr>
      <w:r>
        <w:t xml:space="preserve">Gas detectors are mandatory for confined-space entry and for any work inside the Fluid Catalytic Cracker or Hydrotreater units.</w:t>
      </w:r>
    </w:p>
    <w:p>
      <w:pPr>
        <w:pStyle w:val="ListParagraph"/>
        <w:numPr>
          <w:ilvl w:val="0"/>
          <w:numId w:val="1"/>
        </w:numPr>
      </w:pPr>
      <w:r>
        <w:t xml:space="preserve">Respiratory protection is required when working within 10 metres of an open sample point or vent.</w:t>
      </w:r>
    </w:p>
    <w:p>
      <w:pPr>
        <w:pStyle w:val="Heading1"/>
      </w:pPr>
      <w:r>
        <w:t xml:space="preserve">3. Incident Classification</w:t>
      </w:r>
    </w:p>
    <w:p>
      <w:pPr>
        <w:pStyle w:val="ListParagraph"/>
        <w:numPr>
          <w:ilvl w:val="0"/>
          <w:numId w:val="1"/>
        </w:numPr>
      </w:pPr>
      <w:r>
        <w:t xml:space="preserve">Near miss — an event with no injury, damage, or loss, but with the potential to cause harm.</w:t>
      </w:r>
    </w:p>
    <w:p>
      <w:pPr>
        <w:pStyle w:val="ListParagraph"/>
        <w:numPr>
          <w:ilvl w:val="0"/>
          <w:numId w:val="1"/>
        </w:numPr>
      </w:pPr>
      <w:r>
        <w:t xml:space="preserve">Minor — first-aid-only injury or negligible equipment/process impact.</w:t>
      </w:r>
    </w:p>
    <w:p>
      <w:pPr>
        <w:pStyle w:val="ListParagraph"/>
        <w:numPr>
          <w:ilvl w:val="0"/>
          <w:numId w:val="1"/>
        </w:numPr>
      </w:pPr>
      <w:r>
        <w:t xml:space="preserve">Moderate — medical-treatment injury, or a process upset requiring unit intervention.</w:t>
      </w:r>
    </w:p>
    <w:p>
      <w:pPr>
        <w:pStyle w:val="ListParagraph"/>
        <w:numPr>
          <w:ilvl w:val="0"/>
          <w:numId w:val="1"/>
        </w:numPr>
      </w:pPr>
      <w:r>
        <w:t xml:space="preserve">Major — lost-time injury, significant equipment damage, or an uncontrolled process release.</w:t>
      </w:r>
    </w:p>
    <w:p>
      <w:pPr>
        <w:pStyle w:val="Heading1"/>
      </w:pPr>
      <w:r>
        <w:t xml:space="preserve">4. Incident Reporting Procedure</w:t>
      </w:r>
    </w:p>
    <w:p>
      <w:r>
        <w:t xml:space="preserve">Any employee who witnesses or is involved in a safety incident, of any severity, must immediately notify their Shift Supervisor and, for moderate or major incidents, the Process Safety &amp; HSE team on duty.</w:t>
      </w:r>
    </w:p>
    <w:p>
      <w:r>
        <w:t xml:space="preserve">The Shift Supervisor logs a preliminary report within 1 hour of the incident, and the Safety Officer opens a formal safety incident record within 24 hours, capturing zone, severity, description, and the employee(s) involved.</w:t>
      </w:r>
    </w:p>
    <w:p>
      <w:r>
        <w:t xml:space="preserve">A root-cause investigation is required for every moderate and major incident, led by a Safety Officer, with findings and corrective actions logged against the incident record before it can be closed.</w:t>
      </w:r>
    </w:p>
    <w:p>
      <w:r>
        <w:t xml:space="preserve">Where an incident is linked to equipment condition, the corrective action must reference the associated maintenance work order so the Reliability team can evaluate whether the maintenance interval for that equipment class needs to change.</w:t>
      </w:r>
    </w:p>
    <w:p>
      <w:pPr>
        <w:pStyle w:val="Heading1"/>
      </w:pPr>
      <w:r>
        <w:t xml:space="preserve">5. Emergency Response</w:t>
      </w:r>
    </w:p>
    <w:p>
      <w:r>
        <w:t xml:space="preserve">In the event of fire, gas release, or major process upset, personnel must proceed to the nearest designated muster point and await a headcount from their Shift Supervisor. The Fire and Emergency Station coordinates the site response and liaises with external emergency services if required.</w:t>
      </w:r>
    </w:p>
    <w:p>
      <w:pPr>
        <w:pStyle w:val="Heading1"/>
      </w:pPr>
      <w:r>
        <w:t xml:space="preserve">6. Training and Certification</w:t>
      </w:r>
    </w:p>
    <w:p>
      <w:r>
        <w:t xml:space="preserve">All Process Operations, Maintenance &amp; Reliability, and Instrumentation &amp; Controls personnel are required to hold a current safety certification, renewed through the Training and Simulator Centre, before being assigned to unsupervised shift work in a process zone.</w:t>
      </w:r>
    </w:p>
    <w:p>
      <w:pPr>
        <w:pStyle w:val="Heading1"/>
      </w:pPr>
      <w:r>
        <w:t xml:space="preserve">7. Related Documents</w:t>
      </w:r>
    </w:p>
    <w:p>
      <w:pPr>
        <w:pStyle w:val="ListParagraph"/>
        <w:numPr>
          <w:ilvl w:val="0"/>
          <w:numId w:val="1"/>
        </w:numPr>
      </w:pPr>
      <w:r>
        <w:t xml:space="preserve">Safety incident register (site database).</w:t>
      </w:r>
    </w:p>
    <w:p>
      <w:pPr>
        <w:pStyle w:val="ListParagraph"/>
        <w:numPr>
          <w:ilvl w:val="0"/>
          <w:numId w:val="1"/>
        </w:numPr>
      </w:pPr>
      <w:r>
        <w:t xml:space="preserve">Equipment-specific Standard Operating Procedures.</w:t>
      </w:r>
    </w:p>
    <w:p>
      <w:pPr>
        <w:pStyle w:val="ListParagraph"/>
        <w:numPr>
          <w:ilvl w:val="0"/>
          <w:numId w:val="1"/>
        </w:numPr>
      </w:pPr>
      <w:r>
        <w:t xml:space="preserve">Emergency Response and Muster Point Plan.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color w:val="777777"/>
        <w:sz w:val="16"/>
        <w:szCs w:val="16"/>
      </w:rPr>
      <w:t xml:space="preserve">PROJECT 117 REFINERY OPERATIONS — HSE POLICY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2026-09-11T19:48:49.818Z</dcterms:created>
  <dcterms:modified xsi:type="dcterms:W3CDTF">2026-09-11T19:48:49.818Z</dcterms:modified>
</cp:coreProperties>
</file>

<file path=docProps/custom.xml><?xml version="1.0" encoding="utf-8"?>
<Properties xmlns="http://schemas.openxmlformats.org/officeDocument/2006/custom-properties" xmlns:vt="http://schemas.openxmlformats.org/officeDocument/2006/docPropsVTypes"/>
</file>