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Standard Operating Procedure</w:t>
      </w:r>
    </w:p>
    <w:p>
      <w:r>
        <w:rPr>
          <w:b/>
          <w:bCs/>
          <w:color w:val="1F3864"/>
          <w:sz w:val="26"/>
          <w:szCs w:val="26"/>
        </w:rPr>
        <w:t xml:space="preserve">Centrifugal Pump Startup, Monitoring and Shutdown — Crude Distillation Unit</w:t>
      </w:r>
    </w:p>
    <w:p>
      <w:r>
        <w:rPr>
          <w:color w:val="555555"/>
          <w:sz w:val="18"/>
          <w:szCs w:val="18"/>
        </w:rPr>
        <w:t xml:space="preserve">Document No: SOP-CDU-PUMP-01   |   Revision: 3   |   Effective Date: 01 Jan 2026</w:t>
      </w:r>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2238"/>
      </w:tblGrid>
      <w:tr>
        <w:tc>
          <w:tcPr>
            <w:tcW w:type="dxa" w:w="2400"/>
            <w:shd w:fill="F2F2F2" w:val="clear"/>
          </w:tcPr>
          <w:p>
            <w:pPr>
              <w:jc w:val="left"/>
            </w:pPr>
            <w:r>
              <w:rPr>
                <w:b/>
                <w:bCs/>
              </w:rPr>
              <w:t xml:space="preserve">Applicable Equipment</w:t>
            </w:r>
          </w:p>
        </w:tc>
        <w:tc>
          <w:tcPr>
            <w:tcW w:type="dxa" w:w="3000"/>
          </w:tcPr>
          <w:p>
            <w:pPr>
              <w:jc w:val="left"/>
            </w:pPr>
            <w:r>
              <w:rPr>
                <w:b w:val="false"/>
                <w:bCs w:val="false"/>
              </w:rPr>
              <w:t xml:space="preserve">P-101 to P-106 (CDU feed and reflux pumps)</w:t>
            </w:r>
          </w:p>
        </w:tc>
        <w:tc>
          <w:tcPr>
            <w:tcW w:type="dxa" w:w="2000"/>
            <w:shd w:fill="F2F2F2" w:val="clear"/>
          </w:tcPr>
          <w:p>
            <w:pPr>
              <w:jc w:val="left"/>
            </w:pPr>
            <w:r>
              <w:rPr>
                <w:b/>
                <w:bCs/>
              </w:rPr>
              <w:t xml:space="preserve">Zone</w:t>
            </w:r>
          </w:p>
        </w:tc>
        <w:tc>
          <w:tcPr>
            <w:tcW w:type="dxa" w:w="2238"/>
          </w:tcPr>
          <w:p>
            <w:pPr>
              <w:jc w:val="left"/>
            </w:pPr>
            <w:r>
              <w:rPr>
                <w:b w:val="false"/>
                <w:bCs w:val="false"/>
              </w:rPr>
              <w:t xml:space="preserve">Crude Distillation Unit</w:t>
            </w:r>
          </w:p>
        </w:tc>
      </w:tr>
      <w:tr>
        <w:tc>
          <w:tcPr>
            <w:tcW w:type="dxa" w:w="2400"/>
            <w:shd w:fill="F2F2F2" w:val="clear"/>
          </w:tcPr>
          <w:p>
            <w:pPr>
              <w:jc w:val="left"/>
            </w:pPr>
            <w:r>
              <w:rPr>
                <w:b/>
                <w:bCs/>
              </w:rPr>
              <w:t xml:space="preserve">Prepared By</w:t>
            </w:r>
          </w:p>
        </w:tc>
        <w:tc>
          <w:tcPr>
            <w:tcW w:type="dxa" w:w="3000"/>
          </w:tcPr>
          <w:p>
            <w:pPr>
              <w:jc w:val="left"/>
            </w:pPr>
            <w:r>
              <w:rPr>
                <w:b w:val="false"/>
                <w:bCs w:val="false"/>
              </w:rPr>
              <w:t xml:space="preserve">Process Engineering</w:t>
            </w:r>
          </w:p>
        </w:tc>
        <w:tc>
          <w:tcPr>
            <w:tcW w:type="dxa" w:w="2000"/>
            <w:shd w:fill="F2F2F2" w:val="clear"/>
          </w:tcPr>
          <w:p>
            <w:pPr>
              <w:jc w:val="left"/>
            </w:pPr>
            <w:r>
              <w:rPr>
                <w:b/>
                <w:bCs/>
              </w:rPr>
              <w:t xml:space="preserve">Approved By</w:t>
            </w:r>
          </w:p>
        </w:tc>
        <w:tc>
          <w:tcPr>
            <w:tcW w:type="dxa" w:w="2238"/>
          </w:tcPr>
          <w:p>
            <w:pPr>
              <w:jc w:val="left"/>
            </w:pPr>
            <w:r>
              <w:rPr>
                <w:b w:val="false"/>
                <w:bCs w:val="false"/>
              </w:rPr>
              <w:t xml:space="preserve">Unit Head, CDU</w:t>
            </w:r>
          </w:p>
        </w:tc>
      </w:tr>
      <w:tr>
        <w:tc>
          <w:tcPr>
            <w:tcW w:type="dxa" w:w="2400"/>
            <w:shd w:fill="F2F2F2" w:val="clear"/>
          </w:tcPr>
          <w:p>
            <w:pPr>
              <w:jc w:val="left"/>
            </w:pPr>
            <w:r>
              <w:rPr>
                <w:b/>
                <w:bCs/>
              </w:rPr>
              <w:t xml:space="preserve">Review Cycle</w:t>
            </w:r>
          </w:p>
        </w:tc>
        <w:tc>
          <w:tcPr>
            <w:tcW w:type="dxa" w:w="3000"/>
          </w:tcPr>
          <w:p>
            <w:pPr>
              <w:jc w:val="left"/>
            </w:pPr>
            <w:r>
              <w:rPr>
                <w:b w:val="false"/>
                <w:bCs w:val="false"/>
              </w:rPr>
              <w:t xml:space="preserve">Annual</w:t>
            </w:r>
          </w:p>
        </w:tc>
        <w:tc>
          <w:tcPr>
            <w:tcW w:type="dxa" w:w="2000"/>
            <w:shd w:fill="F2F2F2" w:val="clear"/>
          </w:tcPr>
          <w:p>
            <w:pPr>
              <w:jc w:val="left"/>
            </w:pPr>
            <w:r>
              <w:rPr>
                <w:b/>
                <w:bCs/>
              </w:rPr>
              <w:t xml:space="preserve">Next Review</w:t>
            </w:r>
          </w:p>
        </w:tc>
        <w:tc>
          <w:tcPr>
            <w:tcW w:type="dxa" w:w="2238"/>
          </w:tcPr>
          <w:p>
            <w:pPr>
              <w:jc w:val="left"/>
            </w:pPr>
            <w:r>
              <w:rPr>
                <w:b w:val="false"/>
                <w:bCs w:val="false"/>
              </w:rPr>
              <w:t xml:space="preserve">01 Jan 2027</w:t>
            </w:r>
          </w:p>
        </w:tc>
      </w:tr>
    </w:tbl>
    <w:p/>
    <w:p>
      <w:pPr>
        <w:pStyle w:val="Heading1"/>
      </w:pPr>
      <w:r>
        <w:t xml:space="preserve">1. Purpose</w:t>
      </w:r>
    </w:p>
    <w:p>
      <w:r>
        <w:t xml:space="preserve">This procedure defines the safe and consistent method for starting, monitoring, and shutting down centrifugal feed and reflux pumps (P-101 through P-106) in the Crude Distillation Unit (CDU), to protect personnel, equipment, and continuity of the distillation process.</w:t>
      </w:r>
    </w:p>
    <w:p>
      <w:pPr>
        <w:pStyle w:val="Heading1"/>
      </w:pPr>
      <w:r>
        <w:t xml:space="preserve">2. Scope</w:t>
      </w:r>
    </w:p>
    <w:p>
      <w:r>
        <w:t xml:space="preserve">Applies to all Shift Operators, Senior Operators, and Panel Operators assigned to the CDU during normal operation, planned maintenance changeover, and emergency shutdown scenarios.</w:t>
      </w:r>
    </w:p>
    <w:p>
      <w:pPr>
        <w:pStyle w:val="Heading1"/>
      </w:pPr>
      <w:r>
        <w:t xml:space="preserve">3. Pre-Startup Checks</w:t>
      </w:r>
    </w:p>
    <w:p>
      <w:pPr>
        <w:pStyle w:val="ListParagraph"/>
        <w:numPr>
          <w:ilvl w:val="0"/>
          <w:numId w:val="1"/>
        </w:numPr>
      </w:pPr>
      <w:r>
        <w:t xml:space="preserve">Confirm suction valve is fully open and discharge valve is closed.</w:t>
      </w:r>
    </w:p>
    <w:p>
      <w:pPr>
        <w:pStyle w:val="ListParagraph"/>
        <w:numPr>
          <w:ilvl w:val="0"/>
          <w:numId w:val="1"/>
        </w:numPr>
      </w:pPr>
      <w:r>
        <w:t xml:space="preserve">Verify suction tank level (TK-201 or equivalent) is above minimum operating level.</w:t>
      </w:r>
    </w:p>
    <w:p>
      <w:pPr>
        <w:pStyle w:val="ListParagraph"/>
        <w:numPr>
          <w:ilvl w:val="0"/>
          <w:numId w:val="1"/>
        </w:numPr>
      </w:pPr>
      <w:r>
        <w:t xml:space="preserve">Check pump casing is primed — no air lock indicated on local pressure gauge.</w:t>
      </w:r>
    </w:p>
    <w:p>
      <w:pPr>
        <w:pStyle w:val="ListParagraph"/>
        <w:numPr>
          <w:ilvl w:val="0"/>
          <w:numId w:val="1"/>
        </w:numPr>
      </w:pPr>
      <w:r>
        <w:t xml:space="preserve">Confirm associated pressure transmitter (PT) and temperature transmitter (TT) are reading within normal range and communicating to the control room.</w:t>
      </w:r>
    </w:p>
    <w:p>
      <w:pPr>
        <w:pStyle w:val="ListParagraph"/>
        <w:numPr>
          <w:ilvl w:val="0"/>
          <w:numId w:val="1"/>
        </w:numPr>
      </w:pPr>
      <w:r>
        <w:t xml:space="preserve">Verify no open work order (WO) or lockout/tagout is active on the pump in the maintenance system.</w:t>
      </w:r>
    </w:p>
    <w:p>
      <w:pPr>
        <w:pStyle w:val="Heading1"/>
      </w:pPr>
      <w:r>
        <w:t xml:space="preserve">4. Startup Sequence</w:t>
      </w:r>
    </w:p>
    <w:p>
      <w:pPr>
        <w:pStyle w:val="ListParagraph"/>
        <w:numPr>
          <w:ilvl w:val="0"/>
          <w:numId w:val="1"/>
        </w:numPr>
      </w:pPr>
      <w:r>
        <w:t xml:space="preserve">Start the pump motor from the control room panel and confirm motor current is within rated range.</w:t>
      </w:r>
    </w:p>
    <w:p>
      <w:pPr>
        <w:pStyle w:val="ListParagraph"/>
        <w:numPr>
          <w:ilvl w:val="0"/>
          <w:numId w:val="1"/>
        </w:numPr>
      </w:pPr>
      <w:r>
        <w:t xml:space="preserve">Slowly open the discharge valve while observing discharge pressure trend; do not open in less than 30 seconds.</w:t>
      </w:r>
    </w:p>
    <w:p>
      <w:pPr>
        <w:pStyle w:val="ListParagraph"/>
        <w:numPr>
          <w:ilvl w:val="0"/>
          <w:numId w:val="1"/>
        </w:numPr>
      </w:pPr>
      <w:r>
        <w:t xml:space="preserve">Confirm discharge pressure stabilizes within normal operating band (per the pump's PT threshold).</w:t>
      </w:r>
    </w:p>
    <w:p>
      <w:pPr>
        <w:pStyle w:val="ListParagraph"/>
        <w:numPr>
          <w:ilvl w:val="0"/>
          <w:numId w:val="1"/>
        </w:numPr>
      </w:pPr>
      <w:r>
        <w:t xml:space="preserve">Log startup time, initial readings, and operator name in the shift log.</w:t>
      </w:r>
    </w:p>
    <w:p>
      <w:pPr>
        <w:pStyle w:val="Heading1"/>
      </w:pPr>
      <w:r>
        <w:t xml:space="preserve">5. Normal Monitoring</w:t>
      </w:r>
    </w:p>
    <w:p>
      <w:r>
        <w:t xml:space="preserve">Monitor suction and discharge pressure, motor current, and vibration (VT) readings each shift round.</w:t>
      </w:r>
    </w:p>
    <w:p>
      <w:pPr>
        <w:pStyle w:val="ListParagraph"/>
        <w:numPr>
          <w:ilvl w:val="0"/>
          <w:numId w:val="1"/>
        </w:numPr>
      </w:pPr>
      <w:r>
        <w:t xml:space="preserve">Any pressure or vibration reading trending outside the normal band for more than two consecutive shift rounds must be reported to the Shift Supervisor and logged for the Reliability Engineer's review.</w:t>
      </w:r>
    </w:p>
    <w:p>
      <w:pPr>
        <w:pStyle w:val="ListParagraph"/>
        <w:numPr>
          <w:ilvl w:val="0"/>
          <w:numId w:val="1"/>
        </w:numPr>
      </w:pPr>
      <w:r>
        <w:t xml:space="preserve">Known degradation indicators for this equipment class include seal wear, cavitation, bearing failure, and impeller erosion — unusual noise, vibration, or a slow decline in discharge pressure should be treated as an early indicator of one of these modes.</w:t>
      </w:r>
    </w:p>
    <w:p>
      <w:pPr>
        <w:pStyle w:val="Heading1"/>
      </w:pPr>
      <w:r>
        <w:t xml:space="preserve">6. Shutdown Sequence</w:t>
      </w:r>
    </w:p>
    <w:p>
      <w:pPr>
        <w:pStyle w:val="ListParagraph"/>
        <w:numPr>
          <w:ilvl w:val="0"/>
          <w:numId w:val="1"/>
        </w:numPr>
      </w:pPr>
      <w:r>
        <w:t xml:space="preserve">Close the discharge valve gradually before stopping the motor, unless an emergency shutdown is in progress.</w:t>
      </w:r>
    </w:p>
    <w:p>
      <w:pPr>
        <w:pStyle w:val="ListParagraph"/>
        <w:numPr>
          <w:ilvl w:val="0"/>
          <w:numId w:val="1"/>
        </w:numPr>
      </w:pPr>
      <w:r>
        <w:t xml:space="preserve">Stop the motor from the control room panel and confirm coast-down.</w:t>
      </w:r>
    </w:p>
    <w:p>
      <w:pPr>
        <w:pStyle w:val="ListParagraph"/>
        <w:numPr>
          <w:ilvl w:val="0"/>
          <w:numId w:val="1"/>
        </w:numPr>
      </w:pPr>
      <w:r>
        <w:t xml:space="preserve">Close the suction valve only if the pump is being isolated for maintenance.</w:t>
      </w:r>
    </w:p>
    <w:p>
      <w:pPr>
        <w:pStyle w:val="ListParagraph"/>
        <w:numPr>
          <w:ilvl w:val="0"/>
          <w:numId w:val="1"/>
        </w:numPr>
      </w:pPr>
      <w:r>
        <w:t xml:space="preserve">Log shutdown time, reason, and operator name in the shift log.</w:t>
      </w:r>
    </w:p>
    <w:p>
      <w:pPr>
        <w:pStyle w:val="Heading1"/>
      </w:pPr>
      <w:r>
        <w:t xml:space="preserve">7. Abnormal Condition Response</w:t>
      </w:r>
    </w:p>
    <w:p>
      <w:r>
        <w:t xml:space="preserve">If discharge pressure drops sharply, suspect loss of suction or cavitation — stop the pump and notify the Shift Supervisor immediately.</w:t>
      </w:r>
    </w:p>
    <w:p>
      <w:r>
        <w:t xml:space="preserve">If a pressure or vibration alert is raised by the monitoring system indicating a fault (e.g., seal wear, bearing failure), initiate a fault report so the Maintenance &amp; Reliability team and the automated diagnostic workflow can investigate before restart is attempted.</w:t>
      </w:r>
    </w:p>
    <w:p>
      <w:pPr>
        <w:pStyle w:val="Heading1"/>
      </w:pPr>
      <w:r>
        <w:t xml:space="preserve">8. Related Documents</w:t>
      </w:r>
    </w:p>
    <w:p>
      <w:pPr>
        <w:pStyle w:val="ListParagraph"/>
        <w:numPr>
          <w:ilvl w:val="0"/>
          <w:numId w:val="1"/>
        </w:numPr>
      </w:pPr>
      <w:r>
        <w:t xml:space="preserve">Equipment master record (equipment.tag = P-101 ... P-106) — install date, expected lifespan, failure modes.</w:t>
      </w:r>
    </w:p>
    <w:p>
      <w:pPr>
        <w:pStyle w:val="ListParagraph"/>
        <w:numPr>
          <w:ilvl w:val="0"/>
          <w:numId w:val="1"/>
        </w:numPr>
      </w:pPr>
      <w:r>
        <w:t xml:space="preserve">Maintenance work order history for the applicable pump tag.</w:t>
      </w:r>
    </w:p>
    <w:p>
      <w:pPr>
        <w:pStyle w:val="ListParagraph"/>
        <w:numPr>
          <w:ilvl w:val="0"/>
          <w:numId w:val="1"/>
        </w:numPr>
      </w:pPr>
      <w:r>
        <w:t xml:space="preserve">CDU Zone Piping and Instrumentation Diagram (P&amp;ID).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777777"/>
        <w:sz w:val="16"/>
        <w:szCs w:val="16"/>
      </w:rPr>
      <w:t xml:space="preserve">PROJECT 117 REFINERY OPERATIONS — 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2026-09-11T19:48:24.865Z</dcterms:created>
  <dcterms:modified xsi:type="dcterms:W3CDTF">2026-09-11T19:48:24.873Z</dcterms:modified>
</cp:coreProperties>
</file>

<file path=docProps/custom.xml><?xml version="1.0" encoding="utf-8"?>
<Properties xmlns="http://schemas.openxmlformats.org/officeDocument/2006/custom-properties" xmlns:vt="http://schemas.openxmlformats.org/officeDocument/2006/docPropsVTypes"/>
</file>