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equired-capstone-component-18.1-week-7"/>
    <w:p>
      <w:pPr>
        <w:pStyle w:val="Heading1"/>
      </w:pPr>
      <w:r>
        <w:t xml:space="preserve">Required Capstone Component 18.1 — Week 7</w:t>
      </w:r>
    </w:p>
    <w:bookmarkStart w:id="20" w:name="X44626cf9783753115e395a081c9b58e0b378747"/>
    <w:p>
      <w:pPr>
        <w:pStyle w:val="Heading2"/>
      </w:pPr>
      <w:r>
        <w:t xml:space="preserve">Refining Strategies for the Black-Box Optimisation Challenge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18 — Hyperparameter Tuning</w:t>
      </w:r>
      <w:r>
        <w:t xml:space="preserve"> </w:t>
      </w:r>
      <w:r>
        <w:rPr>
          <w:bCs/>
          <w:b/>
        </w:rPr>
        <w:t xml:space="preserve">Submitted:</w:t>
      </w:r>
      <w:r>
        <w:t xml:space="preserve"> </w:t>
      </w:r>
      <w:r>
        <w:t xml:space="preserve">27/02/2026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End w:id="20"/>
    <w:bookmarkStart w:id="21" w:name="part-1-queries-submitted"/>
    <w:p>
      <w:pPr>
        <w:pStyle w:val="Heading2"/>
      </w:pPr>
      <w:r>
        <w:t xml:space="preserve">Part 1: Queries Submitted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9"/>
        <w:gridCol w:w="1667"/>
        <w:gridCol w:w="1389"/>
        <w:gridCol w:w="2362"/>
        <w:gridCol w:w="1111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Query Submitted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Balanced exploration (κ=2.0)</w:t>
            </w:r>
          </w:p>
        </w:tc>
        <w:tc>
          <w:p>
            <w:pPr>
              <w:pStyle w:val="Compact"/>
              <w:jc w:val="left"/>
            </w:pPr>
            <w:r>
              <w:t xml:space="preserve">0.837214-0.770672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Balanced GP-UCB (κ=0.8)</w:t>
            </w:r>
          </w:p>
        </w:tc>
        <w:tc>
          <w:p>
            <w:pPr>
              <w:pStyle w:val="Compact"/>
              <w:jc w:val="left"/>
            </w:pPr>
            <w:r>
              <w:t xml:space="preserve">0.764017-0.915770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Balanced GP-UCB (κ=0.8)</w:t>
            </w:r>
          </w:p>
        </w:tc>
        <w:tc>
          <w:p>
            <w:pPr>
              <w:pStyle w:val="Compact"/>
              <w:jc w:val="left"/>
            </w:pPr>
            <w:r>
              <w:t xml:space="preserve">0.238163-0.252402-0.430533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Exploitation (κ=0.5)</w:t>
            </w:r>
          </w:p>
        </w:tc>
        <w:tc>
          <w:p>
            <w:pPr>
              <w:pStyle w:val="Compact"/>
              <w:jc w:val="left"/>
            </w:pPr>
            <w:r>
              <w:t xml:space="preserve">0.560545-0.414310-0.434061-0.217834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Very tight trust-region (κ=0.1, r=0.02)</w:t>
            </w:r>
          </w:p>
        </w:tc>
        <w:tc>
          <w:p>
            <w:pPr>
              <w:pStyle w:val="Compact"/>
              <w:jc w:val="left"/>
            </w:pPr>
            <w:r>
              <w:t xml:space="preserve">0.987688-0.993934-0.985555-0.974125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Balanced-explore (κ=1.5)</w:t>
            </w:r>
          </w:p>
        </w:tc>
        <w:tc>
          <w:p>
            <w:pPr>
              <w:pStyle w:val="Compact"/>
              <w:jc w:val="left"/>
            </w:pPr>
            <w:r>
              <w:t xml:space="preserve">0.702039-0.152715-0.785816-0.669538-0.014257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p>
            <w:pPr>
              <w:pStyle w:val="Compact"/>
              <w:jc w:val="left"/>
            </w:pPr>
            <w:r>
              <w:t xml:space="preserve">GP gradient ascent (κ=2.5)</w:t>
            </w:r>
          </w:p>
        </w:tc>
        <w:tc>
          <w:p>
            <w:pPr>
              <w:pStyle w:val="Compact"/>
              <w:jc w:val="left"/>
            </w:pPr>
            <w:r>
              <w:t xml:space="preserve">0.019168-0.498371-0.228573-0.198239-0.453109-0.823038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p>
            <w:pPr>
              <w:pStyle w:val="Compact"/>
              <w:jc w:val="left"/>
            </w:pPr>
            <w:r>
              <w:t xml:space="preserve">8D</w:t>
            </w:r>
          </w:p>
        </w:tc>
        <w:tc>
          <w:p>
            <w:pPr>
              <w:pStyle w:val="Compact"/>
              <w:jc w:val="left"/>
            </w:pPr>
            <w:r>
              <w:t xml:space="preserve">Very tight trust-region (κ=0.1, r=0.06)</w:t>
            </w:r>
          </w:p>
        </w:tc>
        <w:tc>
          <w:p>
            <w:pPr>
              <w:pStyle w:val="Compact"/>
              <w:jc w:val="left"/>
            </w:pPr>
            <w:r>
              <w:t xml:space="preserve">0.062743-0.157263-0.020914-0.073384-0.311819-0.727900-0.626634-0.893939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X49a5d89837cf559ad7f938c9bf341c09374c0a9"/>
    <w:p>
      <w:pPr>
        <w:pStyle w:val="Heading2"/>
      </w:pPr>
      <w:r>
        <w:t xml:space="preserve">Part 2: Reflection on Strategy — Seventh Iteration (16 Data Points)</w:t>
      </w:r>
    </w:p>
    <w:p>
      <w:r>
        <w:pict>
          <v:rect style="width:0;height:1.5pt" o:hralign="center" o:hrstd="t" o:hr="t"/>
        </w:pict>
      </w:r>
    </w:p>
    <w:bookmarkStart w:id="22" w:name="X9cfc66b61cba4ea8e208835a1fadbafcaff8d36"/>
    <w:p>
      <w:pPr>
        <w:pStyle w:val="Heading3"/>
      </w:pPr>
      <w:r>
        <w:t xml:space="preserve">1. Hyperparameters Chosen and Prioritisation</w:t>
      </w:r>
    </w:p>
    <w:p>
      <w:pPr>
        <w:pStyle w:val="FirstParagraph"/>
      </w:pPr>
      <w:r>
        <w:t xml:space="preserve">With 16 data points across 8 functions, I prioritised hyperparameters that most directly influence query quality under severe data constraints: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Surrogate model hyperparameters:</w:t>
      </w:r>
      <w:r>
        <w:t xml:space="preserve"> </w:t>
      </w:r>
      <w:r>
        <w:t xml:space="preserve">GP kernel length-scales (smoothness assumptions), noise level α (fitting vs uncertainty balance), and kernel type (Matérn vs RBF)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Acquisition function hyperparameters:</w:t>
      </w:r>
      <w:r>
        <w:t xml:space="preserve"> </w:t>
      </w:r>
      <w:r>
        <w:t xml:space="preserve">UCB κ parameter (reduced from κ=2.0 to κ=0.5 as data accumulated) and EI ξ parameter (minimum improvement threshold)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Neural surrogate hyperparameters:</w:t>
      </w:r>
      <w:r>
        <w:t xml:space="preserve"> </w:t>
      </w:r>
      <w:r>
        <w:t xml:space="preserve">Architecture depth (shallow networks to prevent overfitting) and dropout rate (increased for higher-dimensional functions)</w:t>
      </w:r>
    </w:p>
    <w:p>
      <w:pPr>
        <w:pStyle w:val="FirstParagraph"/>
      </w:pPr>
      <w:r>
        <w:t xml:space="preserve">I prioritised kernel parameters and acquisition settings because they have the most immediate impact on where the next query lands.</w:t>
      </w:r>
    </w:p>
    <w:p>
      <w:r>
        <w:pict>
          <v:rect style="width:0;height:1.5pt" o:hralign="center" o:hrstd="t" o:hr="t"/>
        </w:pict>
      </w:r>
    </w:p>
    <w:bookmarkEnd w:id="22"/>
    <w:bookmarkStart w:id="23" w:name="X23e4c71f23ae950969384b073f5a2233f9e97a8"/>
    <w:p>
      <w:pPr>
        <w:pStyle w:val="Heading3"/>
      </w:pPr>
      <w:r>
        <w:t xml:space="preserve">2. How Hyperparameter Tuning Changed Query Strategy</w:t>
      </w:r>
    </w:p>
    <w:p>
      <w:pPr>
        <w:pStyle w:val="FirstParagraph"/>
      </w:pPr>
      <w:r>
        <w:t xml:space="preserve">Early rounds relied on default settings and broad exploration. By iteration 7, tuning transformed my approach: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Early Rounds</w:t>
            </w:r>
          </w:p>
        </w:tc>
        <w:tc>
          <w:p>
            <w:pPr>
              <w:pStyle w:val="Compact"/>
              <w:jc w:val="left"/>
            </w:pPr>
            <w:r>
              <w:t xml:space="preserve">After Tuning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Fixed κ=2.0 for all functions</w:t>
            </w:r>
          </w:p>
        </w:tc>
        <w:tc>
          <w:p>
            <w:pPr>
              <w:pStyle w:val="Compact"/>
              <w:jc w:val="left"/>
            </w:pPr>
            <w:r>
              <w:t xml:space="preserve">Function-specific κ based on observed variance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Global GP across entire space</w:t>
            </w:r>
          </w:p>
        </w:tc>
        <w:tc>
          <w:p>
            <w:pPr>
              <w:pStyle w:val="Compact"/>
              <w:jc w:val="left"/>
            </w:pPr>
            <w:r>
              <w:t xml:space="preserve">Local trust regions for high-D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Uniform architecture for all surrogates</w:t>
            </w:r>
          </w:p>
        </w:tc>
        <w:tc>
          <w:p>
            <w:pPr>
              <w:pStyle w:val="Compact"/>
              <w:jc w:val="left"/>
            </w:pPr>
            <w:r>
              <w:t xml:space="preserve">Dimension-adapted complexity</w:t>
            </w:r>
          </w:p>
        </w:tc>
      </w:tr>
    </w:tbl>
    <w:p>
      <w:pPr>
        <w:pStyle w:val="BodyText"/>
      </w:pPr>
      <w:r>
        <w:t xml:space="preserve">The most significant shift:</w:t>
      </w:r>
      <w:r>
        <w:t xml:space="preserve"> </w:t>
      </w:r>
      <w:r>
        <w:rPr>
          <w:bCs/>
          <w:b/>
        </w:rPr>
        <w:t xml:space="preserve">adaptive κ scheduling</w:t>
      </w:r>
      <w:r>
        <w:t xml:space="preserve">. Functions showing consistent improvement received lower κ for exploitation, while volatile functions retained higher κ for exploration coverage.</w:t>
      </w:r>
    </w:p>
    <w:p>
      <w:r>
        <w:pict>
          <v:rect style="width:0;height:1.5pt" o:hralign="center" o:hrstd="t" o:hr="t"/>
        </w:pict>
      </w:r>
    </w:p>
    <w:bookmarkEnd w:id="23"/>
    <w:bookmarkStart w:id="24" w:name="tuning-methods-applied-and-trade-offs"/>
    <w:p>
      <w:pPr>
        <w:pStyle w:val="Heading3"/>
      </w:pPr>
      <w:r>
        <w:t xml:space="preserve">3. Tuning Methods Applied and Trade-offs</w:t>
      </w:r>
    </w:p>
    <w:p>
      <w:pPr>
        <w:pStyle w:val="FirstParagraph"/>
      </w:pPr>
      <w:r>
        <w:t xml:space="preserve">Methods used: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Manual adjustment:</w:t>
      </w:r>
      <w:r>
        <w:t xml:space="preserve"> </w:t>
      </w:r>
      <w:r>
        <w:t xml:space="preserve">Primary method for acquisition parameters — fast iteration, interpretable, but relies on intuition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Log-marginal likelihood (LML):</w:t>
      </w:r>
      <w:r>
        <w:t xml:space="preserve"> </w:t>
      </w:r>
      <w:r>
        <w:t xml:space="preserve">Automated kernel hyperparameter selection — principled but assumes GP model is appropriate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Cross-validation:</w:t>
      </w:r>
      <w:r>
        <w:t xml:space="preserve"> </w:t>
      </w:r>
      <w:r>
        <w:t xml:space="preserve">Limited use for neural surrogates due to small sample size — 3-fold CV on 16 points yields unstable estimates</w:t>
      </w:r>
    </w:p>
    <w:p>
      <w:pPr>
        <w:pStyle w:val="FirstParagraph"/>
      </w:pPr>
      <w:r>
        <w:t xml:space="preserve">I avoided Hyperband and full Bayesian HPO because evaluation budgets were too constrained — these methods assume abundant function evaluations.</w:t>
      </w:r>
    </w:p>
    <w:p>
      <w:r>
        <w:pict>
          <v:rect style="width:0;height:1.5pt" o:hralign="center" o:hrstd="t" o:hr="t"/>
        </w:pict>
      </w:r>
    </w:p>
    <w:bookmarkEnd w:id="24"/>
    <w:bookmarkStart w:id="25" w:name="model-limitations-revealed-at-16-points"/>
    <w:p>
      <w:pPr>
        <w:pStyle w:val="Heading3"/>
      </w:pPr>
      <w:r>
        <w:t xml:space="preserve">4. Model Limitations Revealed at 16 Points</w:t>
      </w:r>
    </w:p>
    <w:p>
      <w:pPr>
        <w:pStyle w:val="FirstParagraph"/>
      </w:pPr>
      <w:r>
        <w:t xml:space="preserve">As data accumulated, several limitations became evident: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Diminishing returns:</w:t>
      </w:r>
      <w:r>
        <w:t xml:space="preserve"> </w:t>
      </w:r>
      <w:r>
        <w:t xml:space="preserve">Additional queries near known optima yielded marginal gains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Overfitting risk:</w:t>
      </w:r>
      <w:r>
        <w:t xml:space="preserve"> </w:t>
      </w:r>
      <w:r>
        <w:t xml:space="preserve">Neural surrogates with low regularisation produced overconfident predictions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Irrelevant dimensions:</w:t>
      </w:r>
      <w:r>
        <w:t xml:space="preserve"> </w:t>
      </w:r>
      <w:r>
        <w:t xml:space="preserve">Gradient analysis on F8 (8D) revealed dimensions X₄–X₈ contributed minimally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Non-stationarity:</w:t>
      </w:r>
      <w:r>
        <w:t xml:space="preserve"> </w:t>
      </w:r>
      <w:r>
        <w:t xml:space="preserve">F1 and F3 exhibited different behaviours in different regions</w:t>
      </w:r>
    </w:p>
    <w:p>
      <w:r>
        <w:pict>
          <v:rect style="width:0;height:1.5pt" o:hralign="center" o:hrstd="t" o:hr="t"/>
        </w:pict>
      </w:r>
    </w:p>
    <w:bookmarkEnd w:id="25"/>
    <w:bookmarkStart w:id="26" w:name="X97906600d325edc9dd7f842f78c4d1f32f07488"/>
    <w:p>
      <w:pPr>
        <w:pStyle w:val="Heading3"/>
      </w:pPr>
      <w:r>
        <w:t xml:space="preserve">5. Applying Tuning Techniques to Larger Datasets</w:t>
      </w:r>
    </w:p>
    <w:p>
      <w:pPr>
        <w:pStyle w:val="FirstParagraph"/>
      </w:pPr>
      <w:r>
        <w:t xml:space="preserve">For future BBO rounds or complex ML projects, I would scale tuning approaches:</w:t>
      </w:r>
    </w:p>
    <w:p>
      <w:pPr>
        <w:numPr>
          <w:ilvl w:val="0"/>
          <w:numId w:val="1004"/>
        </w:numPr>
        <w:pStyle w:val="Compact"/>
      </w:pPr>
      <w:r>
        <w:t xml:space="preserve">Bayesian HPO for surrogate hyperparameters using HEBO or Optuna</w:t>
      </w:r>
    </w:p>
    <w:p>
      <w:pPr>
        <w:numPr>
          <w:ilvl w:val="0"/>
          <w:numId w:val="1004"/>
        </w:numPr>
        <w:pStyle w:val="Compact"/>
      </w:pPr>
      <w:r>
        <w:t xml:space="preserve">Multi-fidelity evaluation to prune poor configurations before expensive evaluations</w:t>
      </w:r>
    </w:p>
    <w:p>
      <w:pPr>
        <w:numPr>
          <w:ilvl w:val="0"/>
          <w:numId w:val="1004"/>
        </w:numPr>
        <w:pStyle w:val="Compact"/>
      </w:pPr>
      <w:r>
        <w:t xml:space="preserve">Automated feature selection via LASSO or gradient-based importance</w:t>
      </w:r>
    </w:p>
    <w:p>
      <w:pPr>
        <w:numPr>
          <w:ilvl w:val="0"/>
          <w:numId w:val="1004"/>
        </w:numPr>
        <w:pStyle w:val="Compact"/>
      </w:pPr>
      <w:r>
        <w:t xml:space="preserve">Ensemble HPO maintaining diverse configurations across ensemble members</w:t>
      </w:r>
    </w:p>
    <w:p>
      <w:pPr>
        <w:numPr>
          <w:ilvl w:val="0"/>
          <w:numId w:val="1004"/>
        </w:numPr>
        <w:pStyle w:val="Compact"/>
      </w:pPr>
      <w:r>
        <w:t xml:space="preserve">Transfer learning to warm-start hyperparameters from similar functions</w:t>
      </w:r>
    </w:p>
    <w:p>
      <w:r>
        <w:pict>
          <v:rect style="width:0;height:1.5pt" o:hralign="center" o:hrstd="t" o:hr="t"/>
        </w:pict>
      </w:r>
    </w:p>
    <w:bookmarkEnd w:id="26"/>
    <w:bookmarkStart w:id="27" w:name="X6a7bbce7eaafe80cab14bd5bf73aa10a8e4d099"/>
    <w:p>
      <w:pPr>
        <w:pStyle w:val="Heading3"/>
      </w:pPr>
      <w:r>
        <w:t xml:space="preserve">6. Professional Preparation Through Black-Box Tuning</w:t>
      </w:r>
    </w:p>
    <w:p>
      <w:pPr>
        <w:pStyle w:val="FirstParagraph"/>
      </w:pPr>
      <w:r>
        <w:t xml:space="preserve">This black-box setup mirrors real-world ML practice where ground truth is inaccessible, evaluations are expensive, and decisions require justification.</w:t>
      </w:r>
    </w:p>
    <w:p>
      <w:pPr>
        <w:pStyle w:val="BodyText"/>
      </w:pPr>
      <w:r>
        <w:t xml:space="preserve">Tuning in this constrained environment builds essential professional habits:</w:t>
      </w:r>
    </w:p>
    <w:p>
      <w:pPr>
        <w:numPr>
          <w:ilvl w:val="0"/>
          <w:numId w:val="1005"/>
        </w:numPr>
        <w:pStyle w:val="Compact"/>
      </w:pPr>
      <w:r>
        <w:t xml:space="preserve">Quantifying uncertainty rather than chasing point estimates</w:t>
      </w:r>
    </w:p>
    <w:p>
      <w:pPr>
        <w:numPr>
          <w:ilvl w:val="0"/>
          <w:numId w:val="1005"/>
        </w:numPr>
        <w:pStyle w:val="Compact"/>
      </w:pPr>
      <w:r>
        <w:t xml:space="preserve">Documenting rationale for hyperparameter choices to enable reproducibility</w:t>
      </w:r>
    </w:p>
    <w:p>
      <w:pPr>
        <w:numPr>
          <w:ilvl w:val="0"/>
          <w:numId w:val="1005"/>
        </w:numPr>
        <w:pStyle w:val="Compact"/>
      </w:pPr>
      <w:r>
        <w:t xml:space="preserve">Balancing exploration and exploitation under budget pressure</w:t>
      </w:r>
    </w:p>
    <w:p>
      <w:pPr>
        <w:numPr>
          <w:ilvl w:val="0"/>
          <w:numId w:val="1005"/>
        </w:numPr>
        <w:pStyle w:val="Compact"/>
      </w:pPr>
      <w:r>
        <w:t xml:space="preserve">Recognising diminishing returns and knowing when to stop tuning</w:t>
      </w:r>
    </w:p>
    <w:p>
      <w:pPr>
        <w:pStyle w:val="FirstParagraph"/>
      </w:pPr>
      <w:r>
        <w:t xml:space="preserve">Most importantly, it cultivates adaptive thinking — the recognition that optimal hyperparameters are context-dependent and must evolve as evidence accumulates.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2026-03-15T06:33:07Z</dcterms:created>
  <dcterms:modified xsi:type="dcterms:W3CDTF">2026-03-15T06:33:07Z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