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c84d2973bd1fdc25f21e5995b10bd78ad90511"/>
    <w:p>
      <w:pPr>
        <w:pStyle w:val="Heading1"/>
      </w:pPr>
      <w:r>
        <w:t xml:space="preserve">Required Discussion 21.1: A Datasheet for a Dataset</w:t>
      </w:r>
    </w:p>
    <w:bookmarkStart w:id="28" w:name="X02cb5aea465fd34d807fd7c834e64175150b6fd"/>
    <w:p>
      <w:pPr>
        <w:pStyle w:val="Heading2"/>
      </w:pPr>
      <w:r>
        <w:t xml:space="preserve">Reflection on the Pima Indians Diabetes Dataset</w:t>
      </w:r>
    </w:p>
    <w:p>
      <w:r>
        <w:pict>
          <v:rect style="width:0;height:1.5pt" o:hralign="center" o:hrstd="t" o:hr="t"/>
        </w:pict>
      </w:r>
    </w:p>
    <w:bookmarkStart w:id="20" w:name="motivation-and-downstream-benefit"/>
    <w:p>
      <w:pPr>
        <w:pStyle w:val="Heading3"/>
      </w:pPr>
      <w:r>
        <w:t xml:space="preserve">1. Motivation and Downstream Benefit</w:t>
      </w:r>
    </w:p>
    <w:p>
      <w:pPr>
        <w:pStyle w:val="FirstParagraph"/>
      </w:pPr>
      <w:r>
        <w:t xml:space="preserve">The dataset was collected by the National Institute of Diabetes and Digestive and Kidney Diseases to evaluate whether machine learning — specifically the ADAP algorithm — could forecast diabetes onset in Pima Indian women, a population with exceptionally high Type 2 diabetes prevalence (Smith et al., 1988). Clearly stating this in a datasheet immediately constrains interpretation: the data serves a specific diagnostic prediction goal within a defined demographic, not broad population screening. Downstream users benefit because the motivation acts as a scope boundary — preventing overgeneralisation and signalling when transfer to another domain requires additional justification.</w:t>
      </w:r>
    </w:p>
    <w:p>
      <w:r>
        <w:pict>
          <v:rect style="width:0;height:1.5pt" o:hralign="center" o:hrstd="t" o:hr="t"/>
        </w:pict>
      </w:r>
    </w:p>
    <w:bookmarkEnd w:id="20"/>
    <w:bookmarkStart w:id="21" w:name="Xa29f131033e993aeaf2b2c621510d91cb2593a6"/>
    <w:p>
      <w:pPr>
        <w:pStyle w:val="Heading3"/>
      </w:pPr>
      <w:r>
        <w:t xml:space="preserve">2. Feature Documentation and Model Interpretation</w:t>
      </w:r>
    </w:p>
    <w:p>
      <w:pPr>
        <w:pStyle w:val="FirstParagraph"/>
      </w:pPr>
      <w:r>
        <w:t xml:space="preserve">The dataset contains eight features: pregnancies, plasma glucose, blood pressure, skin thickness, insulin, BMI, diabetes pedigree function and age. Of these, glucose, insulin and blood pressure contain zero values that are physiologically impossible — almost certainly missing data encoded as zero. Without documented ranges and valid thresholds, a practitioner may unknowingly train on corrupted inputs, producing a model that appears to perform well but has silently learned from artefacts rather than clinical signal. Detailed type and range documentation converts these latent problems into visible decisions that must be addressed explicitly during preprocessing.</w:t>
      </w:r>
    </w:p>
    <w:p>
      <w:r>
        <w:pict>
          <v:rect style="width:0;height:1.5pt" o:hralign="center" o:hrstd="t" o:hr="t"/>
        </w:pict>
      </w:r>
    </w:p>
    <w:bookmarkEnd w:id="21"/>
    <w:bookmarkStart w:id="22" w:name="collection-timing-and-validity"/>
    <w:p>
      <w:pPr>
        <w:pStyle w:val="Heading3"/>
      </w:pPr>
      <w:r>
        <w:t xml:space="preserve">3. Collection Timing and Validity</w:t>
      </w:r>
    </w:p>
    <w:p>
      <w:pPr>
        <w:pStyle w:val="FirstParagraph"/>
      </w:pPr>
      <w:r>
        <w:t xml:space="preserve">The data were gathered over several decades using oral glucose tolerance tests under protocols current to that era (Smith et al., 1988). Diagnostic thresholds for diabetes have since been revised and measurement equipment has evolved. A model trained on this data and applied today inherits historical measurement assumptions that may no longer hold. Poor temporal documentation makes this invisible — users cannot correct for what they cannot see. Transparent collection context allows analysts to assess whether the data still adequately represents the clinical reality they are trying to model.</w:t>
      </w:r>
    </w:p>
    <w:p>
      <w:r>
        <w:pict>
          <v:rect style="width:0;height:1.5pt" o:hralign="center" o:hrstd="t" o:hr="t"/>
        </w:pict>
      </w:r>
    </w:p>
    <w:bookmarkEnd w:id="22"/>
    <w:bookmarkStart w:id="23" w:name="Xe3a8114d84216bb8c7a1176df8bbd016f037be2"/>
    <w:p>
      <w:pPr>
        <w:pStyle w:val="Heading3"/>
      </w:pPr>
      <w:r>
        <w:t xml:space="preserve">4. Ethical Responsibilities with Vulnerable Populations</w:t>
      </w:r>
    </w:p>
    <w:p>
      <w:pPr>
        <w:pStyle w:val="FirstParagraph"/>
      </w:pPr>
      <w:r>
        <w:t xml:space="preserve">The Pima Indian community’s high diabetes prevalence is partly rooted in historical dispossession — the disruption of traditional food systems following irrigation diversions in the twentieth century. Documenting this context is not merely academic: it prevents findings from being framed as intrinsic biological deficiency rather than the outcome of structural inequity. Ethical documentation should also clarify consent arrangements and whether the community was involved in defining research questions. This transparency discourages extractive use patterns — where data flows outward with no corresponding benefit — and builds the institutional trust necessary for continued research partnerships.</w:t>
      </w:r>
    </w:p>
    <w:p>
      <w:r>
        <w:pict>
          <v:rect style="width:0;height:1.5pt" o:hralign="center" o:hrstd="t" o:hr="t"/>
        </w:pict>
      </w:r>
    </w:p>
    <w:bookmarkEnd w:id="23"/>
    <w:bookmarkStart w:id="24" w:name="transparency-and-responsible-use"/>
    <w:p>
      <w:pPr>
        <w:pStyle w:val="Heading3"/>
      </w:pPr>
      <w:r>
        <w:t xml:space="preserve">5. Transparency and Responsible Use</w:t>
      </w:r>
    </w:p>
    <w:p>
      <w:pPr>
        <w:pStyle w:val="FirstParagraph"/>
      </w:pPr>
      <w:r>
        <w:t xml:space="preserve">The dataset includes only Pima Indian women aged 21 or over, which makes it unrepresentative of men, younger individuals and other ethnic groups. Any model card or deployment document must state this limitation explicitly. Information about missing data encoding, sampling rationale and the pedigree function’s derivation should all be surfaced so users can assess fitness for purpose. Privacy and informed consent documentation matters because participants did not consent to unlimited redistribution — the dataset’s appearance on Kaggle without original consent documentation is a gap that practitioners should acknowledge and factor into downstream decisions.</w:t>
      </w:r>
    </w:p>
    <w:p>
      <w:r>
        <w:pict>
          <v:rect style="width:0;height:1.5pt" o:hralign="center" o:hrstd="t" o:hr="t"/>
        </w:pict>
      </w:r>
    </w:p>
    <w:bookmarkEnd w:id="24"/>
    <w:bookmarkStart w:id="25" w:name="maintenance-trust-and-reproducibility"/>
    <w:p>
      <w:pPr>
        <w:pStyle w:val="Heading3"/>
      </w:pPr>
      <w:r>
        <w:t xml:space="preserve">6. Maintenance, Trust and Reproducibility</w:t>
      </w:r>
    </w:p>
    <w:p>
      <w:pPr>
        <w:pStyle w:val="FirstParagraph"/>
      </w:pPr>
      <w:r>
        <w:t xml:space="preserve">As the dataset has migrated across repositories, no single maintainer has been consistently identified. This creates a reproducibility risk: different versions may contain silent corrections or alterations that render published results non-comparable. Naming a responsible maintainer, specifying a versioning policy and establishing a mechanism for community-reported corrections transforms a static snapshot into a governed resource. Reproducibility depends on knowing exactly which version was used; trust depends on knowing that errors will be addressed rather than buried.</w:t>
      </w:r>
    </w:p>
    <w:p>
      <w:r>
        <w:pict>
          <v:rect style="width:0;height:1.5pt" o:hralign="center" o:hrstd="t" o:hr="t"/>
        </w:pict>
      </w:r>
    </w:p>
    <w:bookmarkEnd w:id="25"/>
    <w:bookmarkStart w:id="26" w:name="conclusion"/>
    <w:p>
      <w:pPr>
        <w:pStyle w:val="Heading3"/>
      </w:pPr>
      <w:r>
        <w:t xml:space="preserve">Conclusion</w:t>
      </w:r>
    </w:p>
    <w:p>
      <w:pPr>
        <w:pStyle w:val="FirstParagraph"/>
      </w:pPr>
      <w:r>
        <w:t xml:space="preserve">Datasheets are not administrative overhead — they are the technical and ethical infrastructure that determines whether a dataset can be used responsibly. For sensitive healthcare data involving specific communities, transparent documentation of motivation, collection context, features, limitations and governance is the minimum standard for trustworthy machine learning.</w:t>
      </w:r>
    </w:p>
    <w:p>
      <w:r>
        <w:pict>
          <v:rect style="width:0;height:1.5pt" o:hralign="center" o:hrstd="t" o:hr="t"/>
        </w:pict>
      </w:r>
    </w:p>
    <w:bookmarkEnd w:id="26"/>
    <w:bookmarkStart w:id="27" w:name="references"/>
    <w:p>
      <w:pPr>
        <w:pStyle w:val="Heading3"/>
      </w:pPr>
      <w:r>
        <w:t xml:space="preserve">References</w:t>
      </w:r>
    </w:p>
    <w:p>
      <w:pPr>
        <w:pStyle w:val="FirstParagraph"/>
      </w:pPr>
      <w:r>
        <w:t xml:space="preserve">Kaggle (n.d.)</w:t>
      </w:r>
      <w:r>
        <w:t xml:space="preserve"> </w:t>
      </w:r>
      <w:r>
        <w:rPr>
          <w:iCs/>
          <w:i/>
        </w:rPr>
        <w:t xml:space="preserve">Pima Indians Diabetes Database</w:t>
      </w:r>
      <w:r>
        <w:t xml:space="preserve">. Available at: https://www.kaggle.com/datasets/uciml/pima-indians-diabetes-database</w:t>
      </w:r>
    </w:p>
    <w:p>
      <w:pPr>
        <w:pStyle w:val="BodyText"/>
      </w:pPr>
      <w:r>
        <w:t xml:space="preserve">Smith, J. W., Everhart, J. E., Dickson, W. C., Knowler, W. C. and Johannes, R. S. (1988)</w:t>
      </w:r>
      <w:r>
        <w:t xml:space="preserve"> </w:t>
      </w:r>
      <w:r>
        <w:t xml:space="preserve">‘</w:t>
      </w:r>
      <w:r>
        <w:t xml:space="preserve">Using the ADAP learning algorithm to forecast the onset of diabetes mellitus</w:t>
      </w:r>
      <w:r>
        <w:t xml:space="preserve">’</w:t>
      </w:r>
      <w:r>
        <w:t xml:space="preserve">,</w:t>
      </w:r>
      <w:r>
        <w:t xml:space="preserve"> </w:t>
      </w:r>
      <w:r>
        <w:rPr>
          <w:iCs/>
          <w:i/>
        </w:rPr>
        <w:t xml:space="preserve">Proceedings of the Annual Symposium on Computer Application in Medical Care</w:t>
      </w:r>
      <w:r>
        <w:t xml:space="preserve">, pp. 261–265. Available at: https://www.ncbi.nlm.nih.gov/pmc/articles/PMC2245318/</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2026-03-02T03:43:49Z</dcterms:created>
  <dcterms:modified xsi:type="dcterms:W3CDTF">2026-03-02T03:43:49Z</dcterms:modified>
</cp:coreProperties>
</file>

<file path=docProps/custom.xml><?xml version="1.0" encoding="utf-8"?>
<Properties xmlns="http://schemas.openxmlformats.org/officeDocument/2006/custom-properties" xmlns:vt="http://schemas.openxmlformats.org/officeDocument/2006/docPropsVTypes"/>
</file>