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61b67c74131619ddfdbaad7dbcaa8e981c6c1f"/>
    <w:p>
      <w:pPr>
        <w:pStyle w:val="Heading1"/>
      </w:pPr>
      <w:r>
        <w:t xml:space="preserve">Required Capstone Component 16.2 — Determining a Software Architecture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16 — Deep Learning</w:t>
      </w:r>
      <w:r>
        <w:t xml:space="preserve"> </w:t>
      </w:r>
      <w:r>
        <w:rPr>
          <w:bCs/>
          <w:b/>
        </w:rPr>
        <w:t xml:space="preserve">Submitted:</w:t>
      </w:r>
      <w:r>
        <w:t xml:space="preserve"> </w:t>
      </w:r>
      <w:r>
        <w:t xml:space="preserve">26/02/2026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Start w:id="22" w:name="repository-structure"/>
    <w:p>
      <w:pPr>
        <w:pStyle w:val="Heading2"/>
      </w:pPr>
      <w:r>
        <w:t xml:space="preserve">Repository Structure</w:t>
      </w:r>
    </w:p>
    <w:bookmarkStart w:id="20" w:name="current-organisation"/>
    <w:p>
      <w:pPr>
        <w:pStyle w:val="Heading3"/>
      </w:pPr>
      <w:r>
        <w:t xml:space="preserve">Current Organisation</w:t>
      </w:r>
    </w:p>
    <w:p>
      <w:pPr>
        <w:pStyle w:val="FirstParagraph"/>
      </w:pPr>
      <w:r>
        <w:t xml:space="preserve">The repository is structured with a clear separation of concerns:</w:t>
      </w:r>
    </w:p>
    <w:p>
      <w:pPr>
        <w:pStyle w:val="SourceCode"/>
      </w:pPr>
      <w:r>
        <w:rPr>
          <w:rStyle w:val="VerbatimChar"/>
        </w:rPr>
        <w:t xml:space="preserve">Black-Box-Optimisation-Challenge/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initial_data/function_{1-8}/     # initial_inputs.npy, initial_outputs.npy</w:t>
      </w:r>
      <w:r>
        <w:br/>
      </w:r>
      <w:r>
        <w:rPr>
          <w:rStyle w:val="VerbatimChar"/>
        </w:rPr>
        <w:t xml:space="preserve">│   └── queries_data/                    # week_01 to week_05 query CSVs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bbo_function_{1-8}.ipynb        # GP-UCB analysis per function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bbo_utils.py                     # GP fitting, UCB acquisition, LHS sampling</w:t>
      </w:r>
      <w:r>
        <w:br/>
      </w:r>
      <w:r>
        <w:rPr>
          <w:rStyle w:val="VerbatimChar"/>
        </w:rPr>
        <w:t xml:space="preserve">│   └── generate_notebooks.py           # Programmatic notebook generator</w:t>
      </w:r>
      <w:r>
        <w:br/>
      </w:r>
      <w:r>
        <w:rPr>
          <w:rStyle w:val="VerbatimChar"/>
        </w:rPr>
        <w:t xml:space="preserve">├── capstone_component_12_1_week_1.md</w:t>
      </w:r>
      <w:r>
        <w:br/>
      </w:r>
      <w:r>
        <w:rPr>
          <w:rStyle w:val="VerbatimChar"/>
        </w:rPr>
        <w:t xml:space="preserve">├── capstone_component_13_1_week_2.md</w:t>
      </w:r>
      <w:r>
        <w:br/>
      </w:r>
      <w:r>
        <w:rPr>
          <w:rStyle w:val="VerbatimChar"/>
        </w:rPr>
        <w:t xml:space="preserve">├── capstone_component_14_1_week_3.md</w:t>
      </w:r>
      <w:r>
        <w:br/>
      </w:r>
      <w:r>
        <w:rPr>
          <w:rStyle w:val="VerbatimChar"/>
        </w:rPr>
        <w:t xml:space="preserve">├── capstone_component_14_2_github_readme.md</w:t>
      </w:r>
      <w:r>
        <w:br/>
      </w:r>
      <w:r>
        <w:rPr>
          <w:rStyle w:val="VerbatimChar"/>
        </w:rPr>
        <w:t xml:space="preserve">├── capstone_component_15_1_week_4.md</w:t>
      </w:r>
      <w:r>
        <w:br/>
      </w:r>
      <w:r>
        <w:rPr>
          <w:rStyle w:val="VerbatimChar"/>
        </w:rPr>
        <w:t xml:space="preserve">├── capstone_component_15_2_hyperparameters.md</w:t>
      </w:r>
      <w:r>
        <w:br/>
      </w:r>
      <w:r>
        <w:rPr>
          <w:rStyle w:val="VerbatimChar"/>
        </w:rPr>
        <w:t xml:space="preserve">├── capstone_component_16_1_week_5.md</w:t>
      </w:r>
      <w:r>
        <w:br/>
      </w:r>
      <w:r>
        <w:rPr>
          <w:rStyle w:val="VerbatimChar"/>
        </w:rPr>
        <w:t xml:space="preserve">├── capstone_component_16_2_software_architecture.md</w:t>
      </w:r>
      <w:r>
        <w:br/>
      </w:r>
      <w:r>
        <w:rPr>
          <w:rStyle w:val="VerbatimChar"/>
        </w:rPr>
        <w:t xml:space="preserve">├── DATASHEET.md                         # Gebru et al. (2021) dataset documentation</w:t>
      </w:r>
      <w:r>
        <w:br/>
      </w:r>
      <w:r>
        <w:rPr>
          <w:rStyle w:val="VerbatimChar"/>
        </w:rPr>
        <w:t xml:space="preserve">├── MODEL_CARD.md                        # Mitchell et al. (2019) model documentation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requirements.txt</w:t>
      </w:r>
    </w:p>
    <w:p>
      <w:pPr>
        <w:pStyle w:val="FirstParagraph"/>
      </w:pPr>
      <w:r>
        <w:t xml:space="preserve">Each weekly capstone component captures the strategic evolution — not just what was submitted but why. This chronological structure enables full traceability from broad exploration (Week 1) to targeted exploitation (Week 5+).</w:t>
      </w:r>
    </w:p>
    <w:bookmarkEnd w:id="20"/>
    <w:bookmarkStart w:id="21" w:name="design-rationale"/>
    <w:p>
      <w:pPr>
        <w:pStyle w:val="Heading3"/>
      </w:pPr>
      <w:r>
        <w:t xml:space="preserve">Design Rationale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data/initial_data/</w:t>
      </w:r>
      <w:r>
        <w:t xml:space="preserve"> </w:t>
      </w:r>
      <w:r>
        <w:t xml:space="preserve">— version-controlled initial</w:t>
      </w:r>
      <w:r>
        <w:t xml:space="preserve"> </w:t>
      </w:r>
      <w:r>
        <w:rPr>
          <w:rStyle w:val="VerbatimChar"/>
        </w:rPr>
        <w:t xml:space="preserve">.npy</w:t>
      </w:r>
      <w:r>
        <w:t xml:space="preserve"> </w:t>
      </w:r>
      <w:r>
        <w:t xml:space="preserve">files so the full pipeline is reproducible without portal access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src/bbo_utils.py</w:t>
      </w:r>
      <w:r>
        <w:t xml:space="preserve"> </w:t>
      </w:r>
      <w:r>
        <w:t xml:space="preserve">— reusable module isolating GP fitting, UCB acquisition and Latin Hypercube Sampling; notebooks import this rather than reimplementing each week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notebooks/</w:t>
      </w:r>
      <w:r>
        <w:t xml:space="preserve"> </w:t>
      </w:r>
      <w:r>
        <w:t xml:space="preserve">— one notebook per function, generated programmatically via</w:t>
      </w:r>
      <w:r>
        <w:t xml:space="preserve"> </w:t>
      </w:r>
      <w:r>
        <w:rPr>
          <w:rStyle w:val="VerbatimChar"/>
        </w:rPr>
        <w:t xml:space="preserve">generate_notebooks.py</w:t>
      </w:r>
      <w:r>
        <w:t xml:space="preserve">, so architecture changes propagate automatically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data/queries_data/</w:t>
      </w:r>
      <w:r>
        <w:t xml:space="preserve"> </w:t>
      </w:r>
      <w:r>
        <w:t xml:space="preserve">— structured CSV logs enabling audit trail and future re-analysis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oding-libraries-and-packages"/>
    <w:p>
      <w:pPr>
        <w:pStyle w:val="Heading2"/>
      </w:pPr>
      <w:r>
        <w:t xml:space="preserve">Coding Libraries and Packages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p>
            <w:pPr>
              <w:pStyle w:val="Compact"/>
              <w:jc w:val="left"/>
            </w:pPr>
            <w:r>
              <w:t xml:space="preserve">Array operations, candidate generation</w:t>
            </w:r>
          </w:p>
        </w:tc>
        <w:tc>
          <w:p>
            <w:pPr>
              <w:pStyle w:val="Compact"/>
              <w:jc w:val="left"/>
            </w:pPr>
            <w:r>
              <w:t xml:space="preserve">Foundation for vectorised computation; efficient LHS sampling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p>
            <w:pPr>
              <w:pStyle w:val="Compact"/>
              <w:jc w:val="left"/>
            </w:pPr>
            <w:r>
              <w:t xml:space="preserve">Gaussian Process surrogates, SVM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Robust GP with uncertainty quantification; ideal for small-data regimes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SciPy</w:t>
            </w:r>
          </w:p>
        </w:tc>
        <w:tc>
          <w:p>
            <w:pPr>
              <w:pStyle w:val="Compact"/>
              <w:jc w:val="left"/>
            </w:pPr>
            <w:r>
              <w:t xml:space="preserve">Latin Hypercube Sampling, acquisition optimisation</w:t>
            </w:r>
          </w:p>
        </w:tc>
        <w:tc>
          <w:p>
            <w:pPr>
              <w:pStyle w:val="Compact"/>
              <w:jc w:val="left"/>
            </w:pPr>
            <w:r>
              <w:t xml:space="preserve">Reliable constrained search; integrates seamlessly with NumPy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p>
            <w:pPr>
              <w:pStyle w:val="Compact"/>
              <w:jc w:val="left"/>
            </w:pPr>
            <w:r>
              <w:t xml:space="preserve">Response surface visualisation</w:t>
            </w:r>
          </w:p>
        </w:tc>
        <w:tc>
          <w:p>
            <w:pPr>
              <w:pStyle w:val="Compact"/>
              <w:jc w:val="left"/>
            </w:pPr>
            <w:r>
              <w:t xml:space="preserve">Quick 2D projections and uncertainty plots</w:t>
            </w:r>
          </w:p>
        </w:tc>
      </w:tr>
    </w:tbl>
    <w:bookmarkStart w:id="23" w:name="X59b58d003764c1cfb3de6bbf14573af627e0c31"/>
    <w:p>
      <w:pPr>
        <w:pStyle w:val="Heading3"/>
      </w:pPr>
      <w:r>
        <w:t xml:space="preserve">Framework Choice: Why Not PyTorch/TensorFlow?</w:t>
      </w:r>
    </w:p>
    <w:p>
      <w:pPr>
        <w:pStyle w:val="FirstParagraph"/>
      </w:pPr>
      <w:r>
        <w:t xml:space="preserve">While Module 16 introduced deep learning frameworks, I deliberately chose not to use them as primary tools. The reasoning: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scarcity:</w:t>
      </w:r>
      <w:r>
        <w:t xml:space="preserve"> </w:t>
      </w:r>
      <w:r>
        <w:t xml:space="preserve">~14 observations per function — neural networks risk severe overfitting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Uncertainty quantification:</w:t>
      </w:r>
      <w:r>
        <w:t xml:space="preserve"> </w:t>
      </w:r>
      <w:r>
        <w:t xml:space="preserve">GPs provide natural uncertainty estimates; NNs require additional machinery (ensembles, MC dropout)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Computational efficiency:</w:t>
      </w:r>
      <w:r>
        <w:t xml:space="preserve"> </w:t>
      </w:r>
      <w:r>
        <w:t xml:space="preserve">scikit-learn GP fits in milliseconds; PyTorch training loops add unnecessary overhead at this scale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Interpretability:</w:t>
      </w:r>
      <w:r>
        <w:t xml:space="preserve"> </w:t>
      </w:r>
      <w:r>
        <w:t xml:space="preserve">Kernel hyperparameters (length-scales, noise) directly inform search strategy</w:t>
      </w:r>
    </w:p>
    <w:p>
      <w:pPr>
        <w:pStyle w:val="FirstParagraph"/>
      </w:pPr>
      <w:r>
        <w:rPr>
          <w:bCs/>
          <w:b/>
        </w:rPr>
        <w:t xml:space="preserve">Trade-off acknowledged:</w:t>
      </w:r>
      <w:r>
        <w:t xml:space="preserve"> </w:t>
      </w:r>
      <w:r>
        <w:t xml:space="preserve">This sacrifices the expressiveness of deep surrogates for reliability and transparency. For F7–F8 with more data, PyTorch-based neural surrogates are used selectively via gradient ascent — a hybrid rather than wholesale switch.</w:t>
      </w:r>
    </w:p>
    <w:bookmarkEnd w:id="23"/>
    <w:bookmarkStart w:id="24" w:name="rapid-prototyping-vs-production-design"/>
    <w:p>
      <w:pPr>
        <w:pStyle w:val="Heading3"/>
      </w:pPr>
      <w:r>
        <w:t xml:space="preserve">Rapid Prototyping vs Production Design</w:t>
      </w:r>
    </w:p>
    <w:p>
      <w:pPr>
        <w:pStyle w:val="FirstParagraph"/>
      </w:pPr>
      <w:r>
        <w:t xml:space="preserve">The approach aligns with</w:t>
      </w:r>
      <w:r>
        <w:t xml:space="preserve"> </w:t>
      </w:r>
      <w:r>
        <w:rPr>
          <w:bCs/>
          <w:b/>
        </w:rPr>
        <w:t xml:space="preserve">rapid prototyping (PyTorch philosophy)</w:t>
      </w:r>
      <w:r>
        <w:t xml:space="preserve"> </w:t>
      </w:r>
      <w:r>
        <w:t xml:space="preserve">— strategy adapts weekly, experimentation drives decisions, and interpretability is prioritised over automation. A TensorFlow-style production architecture would only be appropriate once function landscapes are well-understood and strategy stabilises.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ocumentation"/>
    <w:p>
      <w:pPr>
        <w:pStyle w:val="Heading2"/>
      </w:pPr>
      <w:r>
        <w:t xml:space="preserve">Documentation</w:t>
      </w:r>
    </w:p>
    <w:bookmarkStart w:id="26" w:name="current-state"/>
    <w:p>
      <w:pPr>
        <w:pStyle w:val="Heading3"/>
      </w:pPr>
      <w:r>
        <w:t xml:space="preserve">Current State</w:t>
      </w:r>
    </w:p>
    <w:p>
      <w:pPr>
        <w:pStyle w:val="FirstParagraph"/>
      </w:pPr>
      <w:r>
        <w:t xml:space="preserve">The README documents: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Project goal:</w:t>
      </w:r>
      <w:r>
        <w:t xml:space="preserve"> </w:t>
      </w:r>
      <w:r>
        <w:t xml:space="preserve">maximise 8 unknown functions within 13 query rounds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Input/output format:</w:t>
      </w:r>
      <w:r>
        <w:t xml:space="preserve"> </w:t>
      </w:r>
      <w:r>
        <w:t xml:space="preserve">coordinate vectors in [0,1]ⁿ → scalar function values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Function catalogue:</w:t>
      </w:r>
      <w:r>
        <w:t xml:space="preserve"> </w:t>
      </w:r>
      <w:r>
        <w:t xml:space="preserve">dimensionality, initial points, output range, weekly 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Strategic evolution:</w:t>
      </w:r>
      <w:r>
        <w:t xml:space="preserve"> </w:t>
      </w:r>
      <w:r>
        <w:t xml:space="preserve">three-phase approach (exploration → pattern recognition → exploitation)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Quick start:</w:t>
      </w:r>
      <w:r>
        <w:t xml:space="preserve"> </w:t>
      </w:r>
      <w:r>
        <w:rPr>
          <w:rStyle w:val="VerbatimChar"/>
        </w:rPr>
        <w:t xml:space="preserve">pip install -r requirements.txt &amp;&amp; python src/generate_notebooks.py</w:t>
      </w:r>
    </w:p>
    <w:p>
      <w:pPr>
        <w:pStyle w:val="BodyText"/>
      </w:pPr>
      <w:r>
        <w:t xml:space="preserve">Supporting documentation includes</w:t>
      </w:r>
      <w:r>
        <w:t xml:space="preserve"> </w:t>
      </w:r>
      <w:r>
        <w:rPr>
          <w:rStyle w:val="VerbatimChar"/>
        </w:rPr>
        <w:t xml:space="preserve">DATASHEET.md</w:t>
      </w:r>
      <w:r>
        <w:t xml:space="preserve"> </w:t>
      </w:r>
      <w:r>
        <w:t xml:space="preserve">(Gebru et al., 2021 framework) and</w:t>
      </w:r>
      <w:r>
        <w:t xml:space="preserve"> </w:t>
      </w:r>
      <w:r>
        <w:rPr>
          <w:rStyle w:val="VerbatimChar"/>
        </w:rPr>
        <w:t xml:space="preserve">MODEL_CARD.md</w:t>
      </w:r>
      <w:r>
        <w:t xml:space="preserve"> </w:t>
      </w:r>
      <w:r>
        <w:t xml:space="preserve">(Mitchell et al., 2019 framework), ensuring transparency about both data and modelling decisions.</w:t>
      </w:r>
    </w:p>
    <w:bookmarkEnd w:id="26"/>
    <w:bookmarkStart w:id="27" w:name="documentation-philosophy"/>
    <w:p>
      <w:pPr>
        <w:pStyle w:val="Heading3"/>
      </w:pPr>
      <w:r>
        <w:t xml:space="preserve">Documentation Philosophy</w:t>
      </w:r>
    </w:p>
    <w:p>
      <w:pPr>
        <w:pStyle w:val="FirstParagraph"/>
      </w:pPr>
      <w:r>
        <w:t xml:space="preserve">The goal is to present the repository as a</w:t>
      </w:r>
      <w:r>
        <w:t xml:space="preserve"> </w:t>
      </w:r>
      <w:r>
        <w:rPr>
          <w:bCs/>
          <w:b/>
        </w:rPr>
        <w:t xml:space="preserve">narrative of iterative learning</w:t>
      </w:r>
      <w:r>
        <w:t xml:space="preserve">, not a code dump. Each capstone component answers:</w:t>
      </w:r>
      <w:r>
        <w:t xml:space="preserve"> </w:t>
      </w:r>
      <w:r>
        <w:t xml:space="preserve">1. What was the hypothesis?</w:t>
      </w:r>
      <w:r>
        <w:t xml:space="preserve"> </w:t>
      </w:r>
      <w:r>
        <w:t xml:space="preserve">2. What was observed?</w:t>
      </w:r>
      <w:r>
        <w:t xml:space="preserve"> </w:t>
      </w:r>
      <w:r>
        <w:t xml:space="preserve">3. How did this inform the next decision?</w:t>
      </w:r>
    </w:p>
    <w:p>
      <w:pPr>
        <w:pStyle w:val="BodyText"/>
      </w:pPr>
      <w:r>
        <w:t xml:space="preserve">This mirrors how employers evaluate technical work — clarity of reasoning matters as much as results. A well-structured repository is itself a form of documentation.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Gebru, T. et al. (2021)</w:t>
      </w:r>
      <w:r>
        <w:t xml:space="preserve"> </w:t>
      </w:r>
      <w:r>
        <w:t xml:space="preserve">‘</w:t>
      </w:r>
      <w:r>
        <w:t xml:space="preserve">Datasheets for datasets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Communications of the ACM</w:t>
      </w:r>
      <w:r>
        <w:t xml:space="preserve">, 64(12), pp. 86–92.</w:t>
      </w:r>
    </w:p>
    <w:p>
      <w:pPr>
        <w:pStyle w:val="BodyText"/>
      </w:pPr>
      <w:r>
        <w:t xml:space="preserve">Mitchell, M. et al. (2019)</w:t>
      </w:r>
      <w:r>
        <w:t xml:space="preserve"> </w:t>
      </w:r>
      <w:r>
        <w:t xml:space="preserve">‘</w:t>
      </w:r>
      <w:r>
        <w:t xml:space="preserve">Model cards for model reporting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FAccT</w:t>
      </w:r>
      <w:r>
        <w:t xml:space="preserve">, pp. 220–229.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2026-03-15T05:47:57Z</dcterms:created>
  <dcterms:modified xsi:type="dcterms:W3CDTF">2026-03-15T05:47:57Z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