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ab97f7007b8f4e1eb6fc9d17ea854eb26343a3"/>
    <w:p>
      <w:pPr>
        <w:pStyle w:val="Heading1"/>
      </w:pPr>
      <w:r>
        <w:t xml:space="preserve">Self-Study Discussion 22.1: Finding the Right Customers</w:t>
      </w:r>
    </w:p>
    <w:bookmarkStart w:id="20" w:name="Xa9da98410fa9bac7a8e1c0da18d318451457a5f"/>
    <w:p>
      <w:pPr>
        <w:pStyle w:val="Heading2"/>
      </w:pPr>
      <w:r>
        <w:t xml:space="preserve">Reflection on the Prizm Premier System and Clustering for Segmentation</w:t>
      </w:r>
    </w:p>
    <w:p>
      <w:r>
        <w:pict>
          <v:rect style="width:0;height:1.5pt" o:hralign="center" o:hrstd="t" o:hr="t"/>
        </w:pict>
      </w:r>
    </w:p>
    <w:p>
      <w:pPr>
        <w:pStyle w:val="FirstParagraph"/>
      </w:pPr>
      <w:r>
        <w:rPr>
          <w:bCs/>
          <w:b/>
        </w:rPr>
        <w:t xml:space="preserve">How does Claritas use clustering to group households into lifestyle types?</w:t>
      </w:r>
    </w:p>
    <w:p>
      <w:pPr>
        <w:pStyle w:val="BodyText"/>
      </w:pPr>
      <w:r>
        <w:t xml:space="preserve">Claritas analyses large volumes of demographic, geographic and behavioural data to assign every U.S. household to one of approximately 68 lifestyle segments. The process uses distance and similarity measures to identify households that resemble each other across variables such as income, age, family structure, housing type and purchasing patterns. Each resulting segment — with names like</w:t>
      </w:r>
      <w:r>
        <w:t xml:space="preserve"> </w:t>
      </w:r>
      <w:r>
        <w:t xml:space="preserve">“</w:t>
      </w:r>
      <w:r>
        <w:t xml:space="preserve">Money and Brains</w:t>
      </w:r>
      <w:r>
        <w:t xml:space="preserve">”</w:t>
      </w:r>
      <w:r>
        <w:t xml:space="preserve"> </w:t>
      </w:r>
      <w:r>
        <w:t xml:space="preserve">or</w:t>
      </w:r>
      <w:r>
        <w:t xml:space="preserve"> </w:t>
      </w:r>
      <w:r>
        <w:t xml:space="preserve">“</w:t>
      </w:r>
      <w:r>
        <w:t xml:space="preserve">Young Digerati</w:t>
      </w:r>
      <w:r>
        <w:t xml:space="preserve">”</w:t>
      </w:r>
      <w:r>
        <w:t xml:space="preserve"> </w:t>
      </w:r>
      <w:r>
        <w:t xml:space="preserve">— represents a coherent lifestyle archetype rather than arbitrary statistical groupings, making the clusters interpretable to business users who are not data scientists.</w:t>
      </w:r>
    </w:p>
    <w:p>
      <w:r>
        <w:pict>
          <v:rect style="width:0;height:1.5pt" o:hralign="center" o:hrstd="t" o:hr="t"/>
        </w:pict>
      </w:r>
    </w:p>
    <w:p>
      <w:pPr>
        <w:pStyle w:val="FirstParagraph"/>
      </w:pPr>
      <w:r>
        <w:rPr>
          <w:bCs/>
          <w:b/>
        </w:rPr>
        <w:t xml:space="preserve">How can businesses use these clusters to reach the right customers?</w:t>
      </w:r>
    </w:p>
    <w:p>
      <w:pPr>
        <w:pStyle w:val="BodyText"/>
      </w:pPr>
      <w:r>
        <w:t xml:space="preserve">Once a company maps its existing customers to Prizm segments, it can identify which lifestyle types over-index in its customer base. It then targets prospects from those same segments through geographically targeted advertising, direct mail, digital audience matching and channel selection. Clusters also guide product design and pricing — a segment characterised by high income and urban residence responds differently to a product launch than a suburban family-oriented segment.</w:t>
      </w:r>
    </w:p>
    <w:p>
      <w:r>
        <w:pict>
          <v:rect style="width:0;height:1.5pt" o:hralign="center" o:hrstd="t" o:hr="t"/>
        </w:pict>
      </w:r>
    </w:p>
    <w:p>
      <w:pPr>
        <w:pStyle w:val="FirstParagraph"/>
      </w:pPr>
      <w:r>
        <w:rPr>
          <w:bCs/>
          <w:b/>
        </w:rPr>
        <w:t xml:space="preserve">What types of data make clustering most meaningful?</w:t>
      </w:r>
    </w:p>
    <w:p>
      <w:pPr>
        <w:pStyle w:val="BodyText"/>
      </w:pPr>
      <w:r>
        <w:t xml:space="preserve">Behavioural data carries the most predictive weight — what people actually buy, browse and consume reveals preference far more reliably than what they look like demographically. Geographic data adds important context: a household earning £80K in rural Montana and another earning £80K in central London occupy very different consumption landscapes. The combination of all three — demographic, geographic and behavioural — produces segments that are simultaneously descriptive, accessible and actionable.</w:t>
      </w:r>
    </w:p>
    <w:p>
      <w:r>
        <w:pict>
          <v:rect style="width:0;height:1.5pt" o:hralign="center" o:hrstd="t" o:hr="t"/>
        </w:pict>
      </w:r>
    </w:p>
    <w:p>
      <w:pPr>
        <w:pStyle w:val="FirstParagraph"/>
      </w:pPr>
      <w:r>
        <w:rPr>
          <w:bCs/>
          <w:b/>
        </w:rPr>
        <w:t xml:space="preserve">What are some limitations?</w:t>
      </w:r>
    </w:p>
    <w:p>
      <w:pPr>
        <w:pStyle w:val="BodyText"/>
      </w:pPr>
      <w:r>
        <w:t xml:space="preserve">Four limitations stand out. First,</w:t>
      </w:r>
      <w:r>
        <w:t xml:space="preserve"> </w:t>
      </w:r>
      <w:r>
        <w:rPr>
          <w:bCs/>
          <w:b/>
        </w:rPr>
        <w:t xml:space="preserve">data staleness</w:t>
      </w:r>
      <w:r>
        <w:t xml:space="preserve">: household circumstances change faster than data collection cycles, so segments can lag reality by months or years. Second,</w:t>
      </w:r>
      <w:r>
        <w:t xml:space="preserve"> </w:t>
      </w:r>
      <w:r>
        <w:rPr>
          <w:bCs/>
          <w:b/>
        </w:rPr>
        <w:t xml:space="preserve">forced discretisation</w:t>
      </w:r>
      <w:r>
        <w:t xml:space="preserve">: clustering assigns every household to exactly one segment, obscuring the continuous and overlapping nature of human behaviour. Third,</w:t>
      </w:r>
      <w:r>
        <w:t xml:space="preserve"> </w:t>
      </w:r>
      <w:r>
        <w:rPr>
          <w:bCs/>
          <w:b/>
        </w:rPr>
        <w:t xml:space="preserve">algorithm sensitivity</w:t>
      </w:r>
      <w:r>
        <w:t xml:space="preserve">: the number of clusters</w:t>
      </w:r>
      <w:r>
        <w:t xml:space="preserve"> </w:t>
      </w:r>
      <m:oMath>
        <m:r>
          <m:t>k</m:t>
        </m:r>
      </m:oMath>
      <w:r>
        <w:t xml:space="preserve"> </w:t>
      </w:r>
      <w:r>
        <w:t xml:space="preserve">and the distance metric chosen significantly affect results — two analysts using different settings produce different segments from identical data. Fourth,</w:t>
      </w:r>
      <w:r>
        <w:t xml:space="preserve"> </w:t>
      </w:r>
      <w:r>
        <w:rPr>
          <w:bCs/>
          <w:b/>
        </w:rPr>
        <w:t xml:space="preserve">embedded bias</w:t>
      </w:r>
      <w:r>
        <w:t xml:space="preserve">: if historical purchasing data reflects past marketing exposure rather than genuine preference, the clusters reinforce existing patterns rather than revealing new opportunities.</w:t>
      </w:r>
    </w:p>
    <w:p>
      <w:r>
        <w:pict>
          <v:rect style="width:0;height:1.5pt" o:hralign="center" o:hrstd="t" o:hr="t"/>
        </w:pict>
      </w:r>
    </w:p>
    <w:p>
      <w:pPr>
        <w:pStyle w:val="FirstParagraph"/>
      </w:pPr>
      <w:r>
        <w:rPr>
          <w:bCs/>
          <w:b/>
        </w:rPr>
        <w:t xml:space="preserve">How could misinterpreting clusters cause harm?</w:t>
      </w:r>
    </w:p>
    <w:p>
      <w:pPr>
        <w:pStyle w:val="BodyText"/>
      </w:pPr>
      <w:r>
        <w:t xml:space="preserve">Treating clusters as fixed identities rather than probabilistic tendencies is the core risk. A business that stops marketing to certain postal codes because the dominant segment is</w:t>
      </w:r>
      <w:r>
        <w:t xml:space="preserve"> </w:t>
      </w:r>
      <w:r>
        <w:t xml:space="preserve">“</w:t>
      </w:r>
      <w:r>
        <w:t xml:space="preserve">low propensity to buy</w:t>
      </w:r>
      <w:r>
        <w:t xml:space="preserve">”</w:t>
      </w:r>
      <w:r>
        <w:t xml:space="preserve"> </w:t>
      </w:r>
      <w:r>
        <w:t xml:space="preserve">may systematically exclude communities — effectively redlining in a digital context. Internally, over-relying on segment labels can replace genuine customer research, causing product teams to build for a statistical construct rather than a real person.</w:t>
      </w:r>
    </w:p>
    <w:p>
      <w:r>
        <w:pict>
          <v:rect style="width:0;height:1.5pt" o:hralign="center" o:hrstd="t" o:hr="t"/>
        </w:pict>
      </w:r>
    </w:p>
    <w:p>
      <w:pPr>
        <w:pStyle w:val="FirstParagraph"/>
      </w:pPr>
      <w:r>
        <w:rPr>
          <w:bCs/>
          <w:b/>
        </w:rPr>
        <w:t xml:space="preserve">Applications beyond marketing</w:t>
      </w:r>
    </w:p>
    <w:p>
      <w:pPr>
        <w:pStyle w:val="BodyText"/>
      </w:pPr>
      <w:r>
        <w:t xml:space="preserve">Clustering finds valuable application in:</w:t>
      </w:r>
      <w:r>
        <w:t xml:space="preserve"> </w:t>
      </w:r>
      <w:r>
        <w:rPr>
          <w:bCs/>
          <w:b/>
        </w:rPr>
        <w:t xml:space="preserve">healthcare</w:t>
      </w:r>
      <w:r>
        <w:t xml:space="preserve"> </w:t>
      </w:r>
      <w:r>
        <w:t xml:space="preserve">(grouping patients by comorbidity profiles for personalised treatment pathways);</w:t>
      </w:r>
      <w:r>
        <w:t xml:space="preserve"> </w:t>
      </w:r>
      <w:r>
        <w:rPr>
          <w:bCs/>
          <w:b/>
        </w:rPr>
        <w:t xml:space="preserve">urban planning</w:t>
      </w:r>
      <w:r>
        <w:t xml:space="preserve"> </w:t>
      </w:r>
      <w:r>
        <w:t xml:space="preserve">(identifying neighbourhood types for infrastructure investment);</w:t>
      </w:r>
      <w:r>
        <w:t xml:space="preserve"> </w:t>
      </w:r>
      <w:r>
        <w:rPr>
          <w:bCs/>
          <w:b/>
        </w:rPr>
        <w:t xml:space="preserve">education</w:t>
      </w:r>
      <w:r>
        <w:t xml:space="preserve"> </w:t>
      </w:r>
      <w:r>
        <w:t xml:space="preserve">(segmenting students by learning need and prior attainment to allocate support resources); and</w:t>
      </w:r>
      <w:r>
        <w:t xml:space="preserve"> </w:t>
      </w:r>
      <w:r>
        <w:rPr>
          <w:bCs/>
          <w:b/>
        </w:rPr>
        <w:t xml:space="preserve">financial services</w:t>
      </w:r>
      <w:r>
        <w:t xml:space="preserve"> </w:t>
      </w:r>
      <w:r>
        <w:t xml:space="preserve">(clustering trading accounts by behavioural patterns to detect anomalous activity). In each case, the value — and the risk — of treating clusters as ground truth rather than useful approximations remains the same.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2026-03-02T04:41:37Z</dcterms:created>
  <dcterms:modified xsi:type="dcterms:W3CDTF">2026-03-02T04:41:37Z</dcterms:modified>
</cp:coreProperties>
</file>

<file path=docProps/custom.xml><?xml version="1.0" encoding="utf-8"?>
<Properties xmlns="http://schemas.openxmlformats.org/officeDocument/2006/custom-properties" xmlns:vt="http://schemas.openxmlformats.org/officeDocument/2006/docPropsVTypes"/>
</file>