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Self-study Discussion 17.1: Comparing CNNs to the Visual Cortex</w:t>
      </w:r>
    </w:p>
    <w:p>
      <w:pPr>
        <w:pStyle w:val="Heading1"/>
      </w:pPr>
      <w:r>
        <w:t>How CNNs Resemble Biological Receptive Fields</w:t>
      </w:r>
    </w:p>
    <w:p>
      <w:r>
        <w:t>The architecture of CNNs directly mirrors Hubel and Wiesel's Nobel Prize-winning discovery about visual cortex organization. As demonstrated in Video 17.5, neurons in V1 respond exclusively to stimuli within localized spatial regions—their receptive fields. CNN convolutional layers replicate this precisely: a 3×3 filter "sees" only 9 pixels at a time, processing the image through thousands of overlapping local windows rather than attempting to interpret the entire scene simultaneously.</w:t>
      </w:r>
    </w:p>
    <w:p>
      <w:r>
        <w:t>Both systems construct meaning hierarchically. In the visual cortex, V1 neurons detect oriented edges, V2 combines these into contours and corners, V4 recognizes shapes, and the inferotemporal cortex (IT) identifies complete objects and faces. The practice activities in this module illustrated this beautifully—visualizing CNN feature maps revealed that Layer 1 filters activate on edges, Layer 2 on textures, and deeper layers on increasingly semantic features like eyes or wheels. This isn't coincidence; it's convergent design solving the same computational problem.</w:t>
      </w:r>
    </w:p>
    <w:p>
      <w:pPr>
        <w:pStyle w:val="Heading1"/>
      </w:pPr>
      <w:r>
        <w:t>Key Similarities</w:t>
      </w:r>
    </w:p>
    <w:p>
      <w:r>
        <w:rPr>
          <w:b/>
        </w:rPr>
        <w:t>Structural parallels:</w:t>
      </w:r>
    </w:p>
    <w:p>
      <w:pPr>
        <w:pStyle w:val="ListBullet"/>
      </w:pPr>
      <w:r>
        <w:t>Local connectivity (neurons/filters respond to spatial neighborhoods, not global input)</w:t>
      </w:r>
    </w:p>
    <w:p>
      <w:pPr>
        <w:pStyle w:val="ListBullet"/>
      </w:pPr>
      <w:r>
        <w:t>Weight sharing (CNNs reuse filters across spatial locations; cortical columns share similar tuning properties)</w:t>
      </w:r>
    </w:p>
    <w:p>
      <w:pPr>
        <w:pStyle w:val="ListBullet"/>
      </w:pPr>
      <w:r>
        <w:t>Hierarchical depth (both stack processing stages to build abstraction)</w:t>
      </w:r>
    </w:p>
    <w:p>
      <w:r>
        <w:rPr>
          <w:b/>
        </w:rPr>
        <w:t>Functional parallels:</w:t>
      </w:r>
    </w:p>
    <w:p>
      <w:pPr>
        <w:pStyle w:val="ListBullet"/>
      </w:pPr>
      <w:r>
        <w:t>Progressive invariance (pooling layers approximate how complex cells achieve position tolerance)</w:t>
      </w:r>
    </w:p>
    <w:p>
      <w:pPr>
        <w:pStyle w:val="ListBullet"/>
      </w:pPr>
      <w:r>
        <w:t>Feature composition (simple → complex → hypercomplex, mirroring V1 → V2 → IT)</w:t>
      </w:r>
    </w:p>
    <w:p>
      <w:pPr>
        <w:pStyle w:val="ListBullet"/>
      </w:pPr>
      <w:r>
        <w:t>Efficient encoding (both exploit the statistical structure of natural images)</w:t>
      </w:r>
    </w:p>
    <w:p>
      <w:pPr>
        <w:pStyle w:val="Heading1"/>
      </w:pPr>
      <w:r>
        <w:t>Critical Differences</w:t>
      </w:r>
    </w:p>
    <w:p>
      <w:r>
        <w:t>Despite surface similarities, CNNs remain crude approximations of biological vision: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Visual Cortex</w:t>
            </w:r>
          </w:p>
        </w:tc>
        <w:tc>
          <w:tcPr>
            <w:tcW w:type="dxa" w:w="2880"/>
          </w:tcPr>
          <w:p>
            <w:r>
              <w:rPr>
                <w:b/>
              </w:rPr>
              <w:t>CNNs</w:t>
            </w:r>
          </w:p>
        </w:tc>
      </w:tr>
      <w:tr>
        <w:tc>
          <w:tcPr>
            <w:tcW w:type="dxa" w:w="2880"/>
          </w:tcPr>
          <w:p>
            <w:r>
              <w:t>Feedback</w:t>
            </w:r>
          </w:p>
        </w:tc>
        <w:tc>
          <w:tcPr>
            <w:tcW w:type="dxa" w:w="2880"/>
          </w:tcPr>
          <w:p>
            <w:r>
              <w:t>Extensive top-down connections modulate early processing</w:t>
            </w:r>
          </w:p>
        </w:tc>
        <w:tc>
          <w:tcPr>
            <w:tcW w:type="dxa" w:w="2880"/>
          </w:tcPr>
          <w:p>
            <w:r>
              <w:t>Primarily feedforward; limited recurrence</w:t>
            </w:r>
          </w:p>
        </w:tc>
      </w:tr>
      <w:tr>
        <w:tc>
          <w:tcPr>
            <w:tcW w:type="dxa" w:w="2880"/>
          </w:tcPr>
          <w:p>
            <w:r>
              <w:t>Plasticity</w:t>
            </w:r>
          </w:p>
        </w:tc>
        <w:tc>
          <w:tcPr>
            <w:tcW w:type="dxa" w:w="2880"/>
          </w:tcPr>
          <w:p>
            <w:r>
              <w:t>Continuous adaptation via attention, learning, context</w:t>
            </w:r>
          </w:p>
        </w:tc>
        <w:tc>
          <w:tcPr>
            <w:tcW w:type="dxa" w:w="2880"/>
          </w:tcPr>
          <w:p>
            <w:r>
              <w:t>Frozen after training</w:t>
            </w:r>
          </w:p>
        </w:tc>
      </w:tr>
      <w:tr>
        <w:tc>
          <w:tcPr>
            <w:tcW w:type="dxa" w:w="2880"/>
          </w:tcPr>
          <w:p>
            <w:r>
              <w:t>Data efficiency</w:t>
            </w:r>
          </w:p>
        </w:tc>
        <w:tc>
          <w:tcPr>
            <w:tcW w:type="dxa" w:w="2880"/>
          </w:tcPr>
          <w:p>
            <w:r>
              <w:t>Learns from few examples with minimal supervision</w:t>
            </w:r>
          </w:p>
        </w:tc>
        <w:tc>
          <w:tcPr>
            <w:tcW w:type="dxa" w:w="2880"/>
          </w:tcPr>
          <w:p>
            <w:r>
              <w:t>Requires millions of labeled samples</w:t>
            </w:r>
          </w:p>
        </w:tc>
      </w:tr>
      <w:tr>
        <w:tc>
          <w:tcPr>
            <w:tcW w:type="dxa" w:w="2880"/>
          </w:tcPr>
          <w:p>
            <w:r>
              <w:t>Robustness</w:t>
            </w:r>
          </w:p>
        </w:tc>
        <w:tc>
          <w:tcPr>
            <w:tcW w:type="dxa" w:w="2880"/>
          </w:tcPr>
          <w:p>
            <w:r>
              <w:t>Handles occlusion, noise, novel viewpoints gracefully</w:t>
            </w:r>
          </w:p>
        </w:tc>
        <w:tc>
          <w:tcPr>
            <w:tcW w:type="dxa" w:w="2880"/>
          </w:tcPr>
          <w:p>
            <w:r>
              <w:t>Brittle to adversarial perturbations</w:t>
            </w:r>
          </w:p>
        </w:tc>
      </w:tr>
      <w:tr>
        <w:tc>
          <w:tcPr>
            <w:tcW w:type="dxa" w:w="2880"/>
          </w:tcPr>
          <w:p>
            <w:r>
              <w:t>Energy</w:t>
            </w:r>
          </w:p>
        </w:tc>
        <w:tc>
          <w:tcPr>
            <w:tcW w:type="dxa" w:w="2880"/>
          </w:tcPr>
          <w:p>
            <w:r>
              <w:t>~20 watts for entire brain</w:t>
            </w:r>
          </w:p>
        </w:tc>
        <w:tc>
          <w:tcPr>
            <w:tcW w:type="dxa" w:w="2880"/>
          </w:tcPr>
          <w:p>
            <w:r>
              <w:t>Kilowatts for equivalent inference</w:t>
            </w:r>
          </w:p>
        </w:tc>
      </w:tr>
    </w:tbl>
    <w:p/>
    <w:p>
      <w:r>
        <w:t>As Mini-lesson 17.4 emphasized, the cortex integrates lateral inhibition, neuromodulation, and multisensory feedback—mechanisms absent in standard CNNs. The brain doesn't just recognize; it predicts, using generative models that CNNs lack.</w:t>
      </w:r>
    </w:p>
    <w:p>
      <w:pPr>
        <w:pStyle w:val="Heading1"/>
      </w:pPr>
      <w:r>
        <w:t>Conclusion</w:t>
      </w:r>
    </w:p>
    <w:p>
      <w:r>
        <w:t>CNNs successfully operationalize two core principles of biological vision: local receptive fields and hierarchical feature extraction. This explains their remarkable success on vision benchmarks. However, they capture the "what" of visual processing while missing the "how"—the dynamic, adaptive, feedback-rich computation that makes human vision robust, efficient, and generalizable. Understanding these gaps clarifies both why CNNs work and where next-generation architectures (attention mechanisms, predictive coding networks) must evolve.</w:t>
      </w:r>
    </w:p>
    <w:p/>
    <w:p>
      <w:r>
        <w:rPr>
          <w:i/>
        </w:rPr>
        <w:t>Word count: 438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