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4befa47bf6398bf4756f406d67acb219d1ee488"/>
    <w:p>
      <w:pPr>
        <w:pStyle w:val="Heading1"/>
      </w:pPr>
      <w:r>
        <w:t xml:space="preserve">Required Capstone Component 21.1: Refining BBO Strategies — Round 10</w:t>
      </w:r>
    </w:p>
    <w:bookmarkStart w:id="20" w:name="part-1-queries-submitted"/>
    <w:p>
      <w:pPr>
        <w:pStyle w:val="Heading2"/>
      </w:pPr>
      <w:r>
        <w:t xml:space="preserve">Part 1: Queries Submitted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28"/>
        <w:gridCol w:w="3111"/>
        <w:gridCol w:w="1980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(0.483291, 0.716842)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(0.621478, 0.304591)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(0.712046, 0.483712, 0.591834)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(0.568923, 0.731045, 0.412867)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(0.952841, 0.073621, 0.837492, 0.961074)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(0.683741, 0.512894, 0.749213, 0.384521, 0.621843)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p>
            <w:pPr>
              <w:pStyle w:val="Compact"/>
              <w:jc w:val="left"/>
            </w:pPr>
            <w:r>
              <w:t xml:space="preserve">6D</w:t>
            </w:r>
          </w:p>
        </w:tc>
        <w:tc>
          <w:p>
            <w:pPr>
              <w:pStyle w:val="Compact"/>
              <w:jc w:val="left"/>
            </w:pPr>
            <w:r>
              <w:t xml:space="preserve">(0.412847, 0.718934, 0.519283, 0.384712, 0.623891, 0.571234)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p>
            <w:pPr>
              <w:pStyle w:val="Compact"/>
              <w:jc w:val="left"/>
            </w:pPr>
            <w:r>
              <w:t xml:space="preserve">8D</w:t>
            </w:r>
          </w:p>
        </w:tc>
        <w:tc>
          <w:p>
            <w:pPr>
              <w:pStyle w:val="Compact"/>
              <w:jc w:val="left"/>
            </w:pPr>
            <w:r>
              <w:t xml:space="preserve">(0.847213, 0.492381, 0.913847, 0.381274, 0.512847, 0.673821, 0.428137, 0.591284)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7" w:name="part-2-reflection"/>
    <w:p>
      <w:pPr>
        <w:pStyle w:val="Heading2"/>
      </w:pPr>
      <w:r>
        <w:t xml:space="preserve">Part 2: Reflection</w:t>
      </w:r>
    </w:p>
    <w:bookmarkStart w:id="21" w:name="reasoning-for-round-10"/>
    <w:p>
      <w:pPr>
        <w:pStyle w:val="Heading3"/>
      </w:pPr>
      <w:r>
        <w:t xml:space="preserve">1. Reasoning for Round 10</w:t>
      </w:r>
    </w:p>
    <w:p>
      <w:pPr>
        <w:pStyle w:val="FirstParagraph"/>
      </w:pPr>
      <w:r>
        <w:t xml:space="preserve">By round 10, the strategy has matured from broad spatial exploration (Weeks 1–2) through SVM region classification (Week 3) to a hybrid GP–neural surrogate framework (Weeks 4–5). This round operates in full exploitation mode for well-characterised functions and retains targeted exploration only where the surrogate remains uncertain.</w:t>
      </w:r>
    </w:p>
    <w:p>
      <w:pPr>
        <w:pStyle w:val="BodyText"/>
      </w:pPr>
      <w:r>
        <w:rPr>
          <w:bCs/>
          <w:b/>
        </w:rPr>
        <w:t xml:space="preserve">F5 (4D):</w:t>
      </w:r>
      <w:r>
        <w:t xml:space="preserve"> </w:t>
      </w:r>
      <w:r>
        <w:t xml:space="preserve">The ridge near (0.95, 0.08, 0.82, 0.95) was confirmed across multiple rounds. Round 10 probes a refined perturbation along the X₃–X₄ axis, guided by the elliptical high-performance region identified via backpropagation saliency in Week 4.</w:t>
      </w:r>
    </w:p>
    <w:p>
      <w:pPr>
        <w:pStyle w:val="BodyText"/>
      </w:pPr>
      <w:r>
        <w:rPr>
          <w:bCs/>
          <w:b/>
        </w:rPr>
        <w:t xml:space="preserve">F8 (8D):</w:t>
      </w:r>
      <w:r>
        <w:t xml:space="preserve"> </w:t>
      </w:r>
      <w:r>
        <w:t xml:space="preserve">MLP gradient ascent established X₁ and X₃ as dominant dimensions. Round 10 extends X₁ to 0.847 and X₃ to 0.914 while holding low-influence dimensions near current best values — effectively a pseudo-2D search within the full 8D space.</w:t>
      </w:r>
    </w:p>
    <w:p>
      <w:pPr>
        <w:pStyle w:val="BodyText"/>
      </w:pPr>
      <w:r>
        <w:rPr>
          <w:bCs/>
          <w:b/>
        </w:rPr>
        <w:t xml:space="preserve">F1, F7:</w:t>
      </w:r>
      <w:r>
        <w:t xml:space="preserve"> </w:t>
      </w:r>
      <w:r>
        <w:t xml:space="preserve">Outputs remain near zero or inconsistent. Rather than refining a spurious local peak, both receive probes in undersampled regions to test whether the plateau is genuine or a sampling artefact.</w:t>
      </w:r>
    </w:p>
    <w:p>
      <w:r>
        <w:pict>
          <v:rect style="width:0;height:1.5pt" o:hralign="center" o:hrstd="t" o:hr="t"/>
        </w:pict>
      </w:r>
    </w:p>
    <w:bookmarkEnd w:id="21"/>
    <w:bookmarkStart w:id="22" w:name="transparency-and-reproducibility"/>
    <w:p>
      <w:pPr>
        <w:pStyle w:val="Heading3"/>
      </w:pPr>
      <w:r>
        <w:t xml:space="preserve">2. Transparency and Reproducibility</w:t>
      </w:r>
    </w:p>
    <w:p>
      <w:pPr>
        <w:pStyle w:val="FirstParagraph"/>
      </w:pPr>
      <w:r>
        <w:t xml:space="preserve">Module 21’s emphasis on model cards maps directly onto the BBO strategy: a reproducible pipeline requires documenting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was chosen and</w:t>
      </w:r>
      <w:r>
        <w:t xml:space="preserve"> </w:t>
      </w:r>
      <w:r>
        <w:rPr>
          <w:iCs/>
          <w:i/>
        </w:rPr>
        <w:t xml:space="preserve">why</w:t>
      </w:r>
      <w:r>
        <w:t xml:space="preserve">. My strategy can be fully reproduced from:</w:t>
      </w:r>
    </w:p>
    <w:p>
      <w:pPr>
        <w:numPr>
          <w:ilvl w:val="0"/>
          <w:numId w:val="1001"/>
        </w:numPr>
        <w:pStyle w:val="Compact"/>
      </w:pPr>
      <w:r>
        <w:t xml:space="preserve">The complete input–output log across all 10 rounds</w:t>
      </w:r>
    </w:p>
    <w:p>
      <w:pPr>
        <w:numPr>
          <w:ilvl w:val="0"/>
          <w:numId w:val="1001"/>
        </w:numPr>
        <w:pStyle w:val="Compact"/>
      </w:pPr>
      <w:r>
        <w:t xml:space="preserve">Surrogate specifications: GP (RBF kernel, noise=0.01) for F1–F4; MLP (8→16→8→1) for F7–F8</w:t>
      </w:r>
    </w:p>
    <w:p>
      <w:pPr>
        <w:numPr>
          <w:ilvl w:val="0"/>
          <w:numId w:val="1001"/>
        </w:numPr>
        <w:pStyle w:val="Compact"/>
      </w:pPr>
      <w:r>
        <w:t xml:space="preserve">Acquisition function: UCB with κ=1.5 for exploitation, κ=3.0 for exploration</w:t>
      </w:r>
    </w:p>
    <w:p>
      <w:pPr>
        <w:numPr>
          <w:ilvl w:val="0"/>
          <w:numId w:val="1001"/>
        </w:numPr>
        <w:pStyle w:val="Compact"/>
      </w:pPr>
      <w:r>
        <w:t xml:space="preserve">Trust region: ±0.05 perturbation around best-known point during exploitation</w:t>
      </w:r>
    </w:p>
    <w:p>
      <w:pPr>
        <w:pStyle w:val="FirstParagraph"/>
      </w:pPr>
      <w:r>
        <w:t xml:space="preserve">The documentation philosophy established in the software architecture reflection ensures each query traces back to an explicit hypothesis — answering the same questions a model card demands:</w:t>
      </w:r>
      <w:r>
        <w:t xml:space="preserve"> </w:t>
      </w:r>
      <w:r>
        <w:rPr>
          <w:iCs/>
          <w:i/>
        </w:rPr>
        <w:t xml:space="preserve">What was assumed? What was observed? What is the decision logic?</w:t>
      </w:r>
    </w:p>
    <w:p>
      <w:r>
        <w:pict>
          <v:rect style="width:0;height:1.5pt" o:hralign="center" o:hrstd="t" o:hr="t"/>
        </w:pict>
      </w:r>
    </w:p>
    <w:bookmarkEnd w:id="22"/>
    <w:bookmarkStart w:id="23" w:name="key-assumption"/>
    <w:p>
      <w:pPr>
        <w:pStyle w:val="Heading3"/>
      </w:pPr>
      <w:r>
        <w:t xml:space="preserve">3. Key Assumption</w:t>
      </w:r>
    </w:p>
    <w:p>
      <w:pPr>
        <w:pStyle w:val="FirstParagraph"/>
      </w:pPr>
      <w:r>
        <w:t xml:space="preserve">The central assumption is</w:t>
      </w:r>
      <w:r>
        <w:t xml:space="preserve"> </w:t>
      </w:r>
      <w:r>
        <w:rPr>
          <w:bCs/>
          <w:b/>
        </w:rPr>
        <w:t xml:space="preserve">stationarity</w:t>
      </w:r>
      <w:r>
        <w:t xml:space="preserve">: the GP kernel treats the function’s correlation structure as uniform across the domain. For F5, where the high-performance region is tightly concentrated near the boundary, a stationary RBF kernel underestimates how rapidly the function decays outside that ridge. The surrogate over-smooths the peak, placing the predicted optimum slightly offset from the true maximum. A non-stationary kernel (e.g., deep kernel learning) would address this, but requires more data than the current query budget permits.</w:t>
      </w:r>
    </w:p>
    <w:p>
      <w:r>
        <w:pict>
          <v:rect style="width:0;height:1.5pt" o:hralign="center" o:hrstd="t" o:hr="t"/>
        </w:pict>
      </w:r>
    </w:p>
    <w:bookmarkEnd w:id="23"/>
    <w:bookmarkStart w:id="24" w:name="gaps-and-biases"/>
    <w:p>
      <w:pPr>
        <w:pStyle w:val="Heading3"/>
      </w:pPr>
      <w:r>
        <w:t xml:space="preserve">4. Gaps and Biases</w:t>
      </w:r>
    </w:p>
    <w:p>
      <w:pPr>
        <w:pStyle w:val="FirstParagraph"/>
      </w:pPr>
      <w:r>
        <w:t xml:space="preserve">The dataset is heavily exploitation-biased: approximately 60% of all F5 and F8 queries cluster within high-performance corridors, leaving large fractions of both search spaces unsampled. For F8 (8D), even 18 observations cover an infinitesimal fraction of the unit hypercube — the curse of dimensionality renders the GP’s uncertainty estimates unreliable in unseen regions. Functions with low observed outputs (F1, F2) received fewer exploratory attempts, creating a self-reinforcing cycle: we sample less where we expect less, so the surrogate’s belief never updates in those regions.</w:t>
      </w:r>
    </w:p>
    <w:p>
      <w:r>
        <w:pict>
          <v:rect style="width:0;height:1.5pt" o:hralign="center" o:hrstd="t" o:hr="t"/>
        </w:pict>
      </w:r>
    </w:p>
    <w:bookmarkEnd w:id="24"/>
    <w:bookmarkStart w:id="25" w:name="significant-limitation"/>
    <w:p>
      <w:pPr>
        <w:pStyle w:val="Heading3"/>
      </w:pPr>
      <w:r>
        <w:t xml:space="preserve">5. Significant Limitation</w:t>
      </w:r>
    </w:p>
    <w:p>
      <w:pPr>
        <w:pStyle w:val="FirstParagraph"/>
      </w:pPr>
      <w:r>
        <w:t xml:space="preserve">The most fundamental limitation is the</w:t>
      </w:r>
      <w:r>
        <w:t xml:space="preserve"> </w:t>
      </w:r>
      <w:r>
        <w:rPr>
          <w:bCs/>
          <w:b/>
        </w:rPr>
        <w:t xml:space="preserve">single-query constraint</w:t>
      </w:r>
      <w:r>
        <w:t xml:space="preserve">. Each round forces an irreversible commitment — there is no portfolio diversification across candidate points. This pushes the strategy increasingly toward conservative exploitation as the query budget depletes, even though significant unexplored regions remain. In a real hyperparameter tuning context, this mirrors the cost of expensive model evaluations: the inability to hedge across multiple candidates biases results toward local refinement and reduces the probability of discovering globally superior configurations. The constraint does not just affect results — it shapes the entire optimisation philosophy.</w:t>
      </w:r>
    </w:p>
    <w:p>
      <w:r>
        <w:pict>
          <v:rect style="width:0;height:1.5pt" o:hralign="center" o:hrstd="t" o:hr="t"/>
        </w:pict>
      </w:r>
    </w:p>
    <w:bookmarkEnd w:id="25"/>
    <w:bookmarkStart w:id="26" w:name="references"/>
    <w:p>
      <w:pPr>
        <w:pStyle w:val="Heading3"/>
      </w:pPr>
      <w:r>
        <w:t xml:space="preserve">References</w:t>
      </w:r>
    </w:p>
    <w:p>
      <w:pPr>
        <w:pStyle w:val="FirstParagraph"/>
      </w:pPr>
      <w:r>
        <w:t xml:space="preserve">Shahriari, B., Swersky, K., Wang, Z., Adams, R.P. and de Freitas, N. (2016)</w:t>
      </w:r>
      <w:r>
        <w:t xml:space="preserve"> </w:t>
      </w:r>
      <w:r>
        <w:t xml:space="preserve">‘</w:t>
      </w:r>
      <w:r>
        <w:t xml:space="preserve">Taking the human out of the loop: A review of Bayesian optimization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Proceedings of the IEEE</w:t>
      </w:r>
      <w:r>
        <w:t xml:space="preserve">, 104(1), pp. 148–175.</w:t>
      </w:r>
    </w:p>
    <w:p>
      <w:pPr>
        <w:pStyle w:val="BodyText"/>
      </w:pPr>
      <w:r>
        <w:t xml:space="preserve">Frazier, P.I. (2018)</w:t>
      </w:r>
      <w:r>
        <w:t xml:space="preserve"> </w:t>
      </w:r>
      <w:r>
        <w:rPr>
          <w:iCs/>
          <w:i/>
        </w:rPr>
        <w:t xml:space="preserve">A tutorial on Bayesian optimization</w:t>
      </w:r>
      <w:r>
        <w:t xml:space="preserve">. arXiv:1807.02811.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2026-03-02T04:26:02Z</dcterms:created>
  <dcterms:modified xsi:type="dcterms:W3CDTF">2026-03-02T04:26:02Z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