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required-capstone-component-23.1-week-12"/>
    <w:p>
      <w:pPr>
        <w:pStyle w:val="Heading1"/>
      </w:pPr>
      <w:r>
        <w:t xml:space="preserve">Required Capstone Component 23.1 — Week 12</w:t>
      </w:r>
    </w:p>
    <w:bookmarkStart w:id="20" w:name="X44626cf9783753115e395a081c9b58e0b378747"/>
    <w:p>
      <w:pPr>
        <w:pStyle w:val="Heading2"/>
      </w:pPr>
      <w:r>
        <w:t xml:space="preserve">Refining Strategies for the Black-Box Optimisation Challenge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t xml:space="preserve">23 — Dimensionality Reduction</w:t>
      </w:r>
      <w:r>
        <w:t xml:space="preserve"> </w:t>
      </w:r>
      <w:r>
        <w:rPr>
          <w:bCs/>
          <w:b/>
        </w:rPr>
        <w:t xml:space="preserve">Submitted:</w:t>
      </w:r>
      <w:r>
        <w:t xml:space="preserve"> </w:t>
      </w:r>
      <w:r>
        <w:t xml:space="preserve">15/03/2026</w:t>
      </w:r>
      <w:r>
        <w:t xml:space="preserve"> </w:t>
      </w:r>
      <w:r>
        <w:rPr>
          <w:bCs/>
          <w:b/>
        </w:rPr>
        <w:t xml:space="preserve">Cohort:</w:t>
      </w:r>
      <w:r>
        <w:t xml:space="preserve"> </w:t>
      </w:r>
      <w:r>
        <w:t xml:space="preserve">IMP-PCMLAI-25-08</w:t>
      </w:r>
    </w:p>
    <w:p>
      <w:r>
        <w:pict>
          <v:rect style="width:0;height:1.5pt" o:hralign="center" o:hrstd="t" o:hr="t"/>
        </w:pict>
      </w:r>
    </w:p>
    <w:bookmarkEnd w:id="20"/>
    <w:bookmarkStart w:id="21" w:name="part-1-queries-submitted"/>
    <w:p>
      <w:pPr>
        <w:pStyle w:val="Heading2"/>
      </w:pPr>
      <w:r>
        <w:t xml:space="preserve">Part 1: Queries Submitted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89"/>
        <w:gridCol w:w="1667"/>
        <w:gridCol w:w="1389"/>
        <w:gridCol w:w="2362"/>
        <w:gridCol w:w="1111"/>
      </w:tblGrid>
      <w:tr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t xml:space="preserve">Dimensions</w:t>
            </w:r>
          </w:p>
        </w:tc>
        <w:tc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t xml:space="preserve">Query Submitted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p>
            <w:pPr>
              <w:pStyle w:val="Compact"/>
              <w:jc w:val="left"/>
            </w:pPr>
            <w:r>
              <w:t xml:space="preserve">Moderate exploration (κ=1.5)</w:t>
            </w:r>
          </w:p>
        </w:tc>
        <w:tc>
          <w:p>
            <w:pPr>
              <w:pStyle w:val="Compact"/>
              <w:jc w:val="left"/>
            </w:pPr>
            <w:r>
              <w:t xml:space="preserve">0.829693-0.767563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p>
            <w:pPr>
              <w:pStyle w:val="Compact"/>
              <w:jc w:val="left"/>
            </w:pPr>
            <w:r>
              <w:t xml:space="preserve">Exploitation (κ=0.5)</w:t>
            </w:r>
          </w:p>
        </w:tc>
        <w:tc>
          <w:p>
            <w:pPr>
              <w:pStyle w:val="Compact"/>
              <w:jc w:val="left"/>
            </w:pPr>
            <w:r>
              <w:t xml:space="preserve">0.751849-0.922897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p>
            <w:pPr>
              <w:pStyle w:val="Compact"/>
              <w:jc w:val="left"/>
            </w:pPr>
            <w:r>
              <w:t xml:space="preserve">Exploitation (κ=0.5)</w:t>
            </w:r>
          </w:p>
        </w:tc>
        <w:tc>
          <w:p>
            <w:pPr>
              <w:pStyle w:val="Compact"/>
              <w:jc w:val="left"/>
            </w:pPr>
            <w:r>
              <w:t xml:space="preserve">0.206105-0.261386-0.419116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p>
            <w:pPr>
              <w:pStyle w:val="Compact"/>
              <w:jc w:val="left"/>
            </w:pPr>
            <w:r>
              <w:t xml:space="preserve">Tight exploitation (κ=0.3)</w:t>
            </w:r>
          </w:p>
        </w:tc>
        <w:tc>
          <w:p>
            <w:pPr>
              <w:pStyle w:val="Compact"/>
              <w:jc w:val="left"/>
            </w:pPr>
            <w:r>
              <w:t xml:space="preserve">0.593846-0.430421-0.420627-0.224232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p>
            <w:pPr>
              <w:pStyle w:val="Compact"/>
              <w:jc w:val="left"/>
            </w:pPr>
            <w:r>
              <w:t xml:space="preserve">Ultra-tight trust-region (κ=0.05, r=0.01)</w:t>
            </w:r>
          </w:p>
        </w:tc>
        <w:tc>
          <w:p>
            <w:pPr>
              <w:pStyle w:val="Compact"/>
              <w:jc w:val="left"/>
            </w:pPr>
            <w:r>
              <w:t xml:space="preserve">0.992141-0.971422-0.991386-0.980369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p>
            <w:pPr>
              <w:pStyle w:val="Compact"/>
              <w:jc w:val="left"/>
            </w:pPr>
            <w:r>
              <w:t xml:space="preserve">5D</w:t>
            </w:r>
          </w:p>
        </w:tc>
        <w:tc>
          <w:p>
            <w:pPr>
              <w:pStyle w:val="Compact"/>
              <w:jc w:val="left"/>
            </w:pPr>
            <w:r>
              <w:t xml:space="preserve">Balanced (κ=0.8)</w:t>
            </w:r>
          </w:p>
        </w:tc>
        <w:tc>
          <w:p>
            <w:pPr>
              <w:pStyle w:val="Compact"/>
              <w:jc w:val="left"/>
            </w:pPr>
            <w:r>
              <w:t xml:space="preserve">0.699188-0.126146-0.709437-0.669891-0.061930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p>
            <w:pPr>
              <w:pStyle w:val="Compact"/>
              <w:jc w:val="left"/>
            </w:pPr>
            <w:r>
              <w:t xml:space="preserve">6D</w:t>
            </w:r>
          </w:p>
        </w:tc>
        <w:tc>
          <w:p>
            <w:pPr>
              <w:pStyle w:val="Compact"/>
              <w:jc w:val="left"/>
            </w:pPr>
            <w:r>
              <w:t xml:space="preserve">GP gradient ascent (κ=2.0)</w:t>
            </w:r>
          </w:p>
        </w:tc>
        <w:tc>
          <w:p>
            <w:pPr>
              <w:pStyle w:val="Compact"/>
              <w:jc w:val="left"/>
            </w:pPr>
            <w:r>
              <w:t xml:space="preserve">0.010536-0.496781-0.291065-0.231724-0.379195-0.721570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p>
            <w:pPr>
              <w:pStyle w:val="Compact"/>
              <w:jc w:val="left"/>
            </w:pPr>
            <w:r>
              <w:t xml:space="preserve">8D</w:t>
            </w:r>
          </w:p>
        </w:tc>
        <w:tc>
          <w:p>
            <w:pPr>
              <w:pStyle w:val="Compact"/>
              <w:jc w:val="left"/>
            </w:pPr>
            <w:r>
              <w:t xml:space="preserve">Ultra-tight trust-region (κ=0.05, r=0.04)</w:t>
            </w:r>
          </w:p>
        </w:tc>
        <w:tc>
          <w:p>
            <w:pPr>
              <w:pStyle w:val="Compact"/>
              <w:jc w:val="left"/>
            </w:pPr>
            <w:r>
              <w:t xml:space="preserve">0.063553-0.189558-0.084752-0.057006-0.401034-0.705107-0.555764-0.950381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X371f67a7574009aedc66c78b43f8fa491f33dec"/>
    <w:p>
      <w:pPr>
        <w:pStyle w:val="Heading2"/>
      </w:pPr>
      <w:r>
        <w:t xml:space="preserve">Part 2: Reflection on Strategy — Twelfth Iteration (21 Data Points)</w:t>
      </w:r>
    </w:p>
    <w:p>
      <w:r>
        <w:pict>
          <v:rect style="width:0;height:1.5pt" o:hralign="center" o:hrstd="t" o:hr="t"/>
        </w:pict>
      </w:r>
    </w:p>
    <w:bookmarkStart w:id="22" w:name="how-strategy-has-evolved"/>
    <w:p>
      <w:pPr>
        <w:pStyle w:val="Heading3"/>
      </w:pPr>
      <w:r>
        <w:t xml:space="preserve">1. How Strategy Has Evolved</w:t>
      </w:r>
    </w:p>
    <w:p>
      <w:pPr>
        <w:pStyle w:val="FirstParagraph"/>
      </w:pPr>
      <w:r>
        <w:t xml:space="preserve">Week 1 was pure exploration — max-distance queries with no surrogate model, relying on Latin Hypercube Sampling to cover the input space without prior beliefs. By Week 12, the approach has become fully systematic: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Surrogate models</w:t>
      </w:r>
      <w:r>
        <w:t xml:space="preserve"> </w:t>
      </w:r>
      <w:r>
        <w:t xml:space="preserve">(GPs, MLPs) now underpin every query, replacing intuition with uncertainty quantification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Function-specific κ schedules</w:t>
      </w:r>
      <w:r>
        <w:t xml:space="preserve">: high-confidence functions (F5, F8) operate at κ=0.05 whilst uncertain ones (F1, F7) retain κ≥1.5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Trust regions</w:t>
      </w:r>
      <w:r>
        <w:t xml:space="preserve"> </w:t>
      </w:r>
      <w:r>
        <w:t xml:space="preserve">anchor high-performing functions within ±0.01–0.04 of best-known coordinates, preventing wasteful exploration of regions the GP has already rejected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Gradient-guided search</w:t>
      </w:r>
      <w:r>
        <w:t xml:space="preserve"> </w:t>
      </w:r>
      <w:r>
        <w:t xml:space="preserve">on F7 uses finite-difference sensitivity to navigate the 6D space directionally rather than stochastically</w:t>
      </w:r>
    </w:p>
    <w:p>
      <w:pPr>
        <w:pStyle w:val="FirstParagraph"/>
      </w:pPr>
      <w:r>
        <w:t xml:space="preserve">The shift from week to week has been one of progressive commitment — trading broad coverage for precision as evidence accumulates.</w:t>
      </w:r>
    </w:p>
    <w:p>
      <w:r>
        <w:pict>
          <v:rect style="width:0;height:1.5pt" o:hralign="center" o:hrstd="t" o:hr="t"/>
        </w:pict>
      </w:r>
    </w:p>
    <w:bookmarkEnd w:id="22"/>
    <w:bookmarkStart w:id="23" w:name="Xa844ebdf1840be46ba14db1e0d19c3e8058266b"/>
    <w:p>
      <w:pPr>
        <w:pStyle w:val="Heading3"/>
      </w:pPr>
      <w:r>
        <w:t xml:space="preserve">2. Principal Directions of Variation — A PCA Lens</w:t>
      </w:r>
    </w:p>
    <w:p>
      <w:pPr>
        <w:pStyle w:val="FirstParagraph"/>
      </w:pPr>
      <w:r>
        <w:t xml:space="preserve">With 21 data points per function, the data set is rich enough to identify which dimensions drive the largest variation in outputs. Applying the PCA framing directly: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600"/>
        <w:gridCol w:w="2880"/>
      </w:tblGrid>
      <w:tr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t xml:space="preserve">Dominant</w:t>
            </w:r>
            <w:r>
              <w:t xml:space="preserve"> </w:t>
            </w:r>
            <w:r>
              <w:t xml:space="preserve">“</w:t>
            </w:r>
            <w:r>
              <w:t xml:space="preserve">PC1</w:t>
            </w:r>
            <w:r>
              <w:t xml:space="preserve">”</w:t>
            </w:r>
            <w:r>
              <w:t xml:space="preserve"> </w:t>
            </w:r>
            <w:r>
              <w:t xml:space="preserve">dimension</w:t>
            </w:r>
          </w:p>
        </w:tc>
        <w:tc>
          <w:p>
            <w:pPr>
              <w:pStyle w:val="Compact"/>
              <w:jc w:val="left"/>
            </w:pPr>
            <w:r>
              <w:t xml:space="preserve">Pattern identified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p>
            <w:pPr>
              <w:pStyle w:val="Compact"/>
              <w:jc w:val="left"/>
            </w:pPr>
            <w:r>
              <w:t xml:space="preserve">All four dimensions equally</w:t>
            </w:r>
          </w:p>
        </w:tc>
        <w:tc>
          <w:p>
            <w:pPr>
              <w:pStyle w:val="Compact"/>
              <w:jc w:val="left"/>
            </w:pPr>
            <w:r>
              <w:t xml:space="preserve">High-output ridge near (0.999)⁴; near-uniform loading across X₁–X₄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p>
            <w:pPr>
              <w:pStyle w:val="Compact"/>
              <w:jc w:val="left"/>
            </w:pPr>
            <w:r>
              <w:t xml:space="preserve">X₁, X₃ (small) and X₆, X₈ (large)</w:t>
            </w:r>
          </w:p>
        </w:tc>
        <w:tc>
          <w:p>
            <w:pPr>
              <w:pStyle w:val="Compact"/>
              <w:jc w:val="left"/>
            </w:pPr>
            <w:r>
              <w:t xml:space="preserve">Two-factor structure; X₂/X₄/X₅/X₇ contribute minimally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p>
            <w:pPr>
              <w:pStyle w:val="Compact"/>
              <w:jc w:val="left"/>
            </w:pPr>
            <w:r>
              <w:t xml:space="preserve">X₂, X₆</w:t>
            </w:r>
          </w:p>
        </w:tc>
        <w:tc>
          <w:p>
            <w:pPr>
              <w:pStyle w:val="Compact"/>
              <w:jc w:val="left"/>
            </w:pPr>
            <w:r>
              <w:t xml:space="preserve">Moderate positive gradient; X₁ and X₄ near-zero sensitivity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p>
            <w:pPr>
              <w:pStyle w:val="Compact"/>
              <w:jc w:val="left"/>
            </w:pPr>
            <w:r>
              <w:t xml:space="preserve">X₁, X₃</w:t>
            </w:r>
          </w:p>
        </w:tc>
        <w:tc>
          <w:p>
            <w:pPr>
              <w:pStyle w:val="Compact"/>
              <w:jc w:val="left"/>
            </w:pPr>
            <w:r>
              <w:t xml:space="preserve">Mid-range values optimal; boundary regions underperform</w:t>
            </w:r>
          </w:p>
        </w:tc>
      </w:tr>
    </w:tbl>
    <w:p>
      <w:pPr>
        <w:pStyle w:val="BodyText"/>
      </w:pPr>
      <w:r>
        <w:t xml:space="preserve">For F8, this analysis led to effective dimensionality reduction: fixing X₂/X₄/X₅/X₇ at their best-known values and optimising only over X₁/X₃/X₆/X₈ — exactly the</w:t>
      </w:r>
      <w:r>
        <w:t xml:space="preserve"> </w:t>
      </w:r>
      <w:r>
        <w:t xml:space="preserve">“</w:t>
      </w:r>
      <w:r>
        <w:t xml:space="preserve">keep the principal components, discard the noise</w:t>
      </w:r>
      <w:r>
        <w:t xml:space="preserve">”</w:t>
      </w:r>
      <w:r>
        <w:t xml:space="preserve"> </w:t>
      </w:r>
      <w:r>
        <w:t xml:space="preserve">logic of PCA applied to black-box optimisation.</w:t>
      </w:r>
    </w:p>
    <w:p>
      <w:r>
        <w:pict>
          <v:rect style="width:0;height:1.5pt" o:hralign="center" o:hrstd="t" o:hr="t"/>
        </w:pict>
      </w:r>
    </w:p>
    <w:bookmarkEnd w:id="23"/>
    <w:bookmarkStart w:id="24" w:name="what-to-explore-vs-what-to-reduce"/>
    <w:p>
      <w:pPr>
        <w:pStyle w:val="Heading3"/>
      </w:pPr>
      <w:r>
        <w:t xml:space="preserve">3. What to Explore vs What to Reduce</w:t>
      </w:r>
    </w:p>
    <w:p>
      <w:pPr>
        <w:pStyle w:val="FirstParagraph"/>
      </w:pPr>
      <w:r>
        <w:t xml:space="preserve">PCA’s core insight is to retain dimensions that explain variance and discard those that do not. I applied this heuristic explicitly: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Retain and refine:</w:t>
      </w:r>
      <w:r>
        <w:t xml:space="preserve"> </w:t>
      </w:r>
      <w:r>
        <w:t xml:space="preserve">Dimensions where gradient sensitivity exceeds a threshold (|∂f/∂xᵢ| &gt; 0.05). For F8, this is X₁/X₃/X₆/X₈.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Fix and ignore:</w:t>
      </w:r>
      <w:r>
        <w:t xml:space="preserve"> </w:t>
      </w:r>
      <w:r>
        <w:t xml:space="preserve">Dimensions where sensitivity is near zero across all 21 observations — treated as irrelevant (analogous to low-variance PCs).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Maintain exploration:</w:t>
      </w:r>
      <w:r>
        <w:t xml:space="preserve"> </w:t>
      </w:r>
      <w:r>
        <w:t xml:space="preserve">F1 and F7 still show high uncertainty across their spaces; reducing search here risks missing undiscovered peaks.</w:t>
      </w:r>
    </w:p>
    <w:p>
      <w:pPr>
        <w:pStyle w:val="FirstParagraph"/>
      </w:pPr>
      <w:r>
        <w:t xml:space="preserve">The decision rule is adaptive: as each new observation arrives, the sensitivity estimates are updated and the effective search dimensionality can shift.</w:t>
      </w:r>
    </w:p>
    <w:p>
      <w:r>
        <w:pict>
          <v:rect style="width:0;height:1.5pt" o:hralign="center" o:hrstd="t" o:hr="t"/>
        </w:pict>
      </w:r>
    </w:p>
    <w:bookmarkEnd w:id="24"/>
    <w:bookmarkStart w:id="25" w:name="implications-for-the-final-round-week-13"/>
    <w:p>
      <w:pPr>
        <w:pStyle w:val="Heading3"/>
      </w:pPr>
      <w:r>
        <w:t xml:space="preserve">4. Implications for the Final Round (Week 13)</w:t>
      </w:r>
    </w:p>
    <w:p>
      <w:pPr>
        <w:pStyle w:val="FirstParagraph"/>
      </w:pPr>
      <w:r>
        <w:t xml:space="preserve">With one query remaining per function, the final round must be decisive. The strategy: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F5:</w:t>
      </w:r>
      <w:r>
        <w:t xml:space="preserve"> </w:t>
      </w:r>
      <w:r>
        <w:t xml:space="preserve">One final micro-perturbation around (0.992, 0.971, 0.991, 0.980) — small random offset within r=0.005 to avoid duplicating Week 12 exactly while staying in the confirmed high-output basin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F8:</w:t>
      </w:r>
      <w:r>
        <w:t xml:space="preserve"> </w:t>
      </w:r>
      <w:r>
        <w:t xml:space="preserve">Fix X₂/X₄/X₅/X₇ at best-known values; optimise X₁/X₃/X₆/X₈ via GP acquisition over the reduced 4D subspace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F1/F7:</w:t>
      </w:r>
      <w:r>
        <w:t xml:space="preserve"> </w:t>
      </w:r>
      <w:r>
        <w:t xml:space="preserve">Final exploratory query in the highest-uncertainty region — the last opportunity to discover a better mode before the budget expires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F2–F4/F6:</w:t>
      </w:r>
      <w:r>
        <w:t xml:space="preserve"> </w:t>
      </w:r>
      <w:r>
        <w:t xml:space="preserve">Pure exploitation of the GP posterior maximum; no exploration value in the final round for converging functions</w:t>
      </w:r>
    </w:p>
    <w:p>
      <w:r>
        <w:pict>
          <v:rect style="width:0;height:1.5pt" o:hralign="center" o:hrstd="t" o:hr="t"/>
        </w:pict>
      </w:r>
    </w:p>
    <w:bookmarkEnd w:id="25"/>
    <w:bookmarkStart w:id="26" w:name="pca-insights-applied-to-bbo-results"/>
    <w:p>
      <w:pPr>
        <w:pStyle w:val="Heading3"/>
      </w:pPr>
      <w:r>
        <w:t xml:space="preserve">5. PCA Insights Applied to BBO Results</w:t>
      </w:r>
    </w:p>
    <w:p>
      <w:pPr>
        <w:pStyle w:val="FirstParagraph"/>
      </w:pPr>
      <w:r>
        <w:t xml:space="preserve">PCA focuses on explaining variance, not raw values. This reframing changed how I interpret BBO progress: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High variance in outputs</w:t>
      </w:r>
      <w:r>
        <w:t xml:space="preserve"> </w:t>
      </w:r>
      <w:r>
        <w:t xml:space="preserve">signals that the surrogate is genuinely uncertain — worthwhile to explore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Low variance across recent queries</w:t>
      </w:r>
      <w:r>
        <w:t xml:space="preserve"> </w:t>
      </w:r>
      <w:r>
        <w:t xml:space="preserve">for a function signals convergence — time to switch to pure exploitation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Redundant dimensions</w:t>
      </w:r>
      <w:r>
        <w:t xml:space="preserve"> </w:t>
      </w:r>
      <w:r>
        <w:t xml:space="preserve">(high inter-dimension correlation in query coordinates) indicate the search has collapsed into a subspace — the same information PCA would compress into fewer components</w:t>
      </w:r>
    </w:p>
    <w:p>
      <w:pPr>
        <w:pStyle w:val="FirstParagraph"/>
      </w:pPr>
      <w:r>
        <w:t xml:space="preserve">The practical lesson: tracking the variance of predicted outputs across candidates, not just the maximum, provides a richer diagnostic for when to switch strategies. A falling variance envelope indicates diminishing information value of further exploration — the GP equivalent of a PCA scree plot flattening.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Srinivas, N. et al. (2010)</w:t>
      </w:r>
      <w:r>
        <w:t xml:space="preserve"> </w:t>
      </w:r>
      <w:r>
        <w:t xml:space="preserve">‘</w:t>
      </w:r>
      <w:r>
        <w:t xml:space="preserve">Gaussian process optimization in the bandit setting: no regret and experimental design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Proceedings of ICML</w:t>
      </w:r>
      <w:r>
        <w:t xml:space="preserve">, pp. 1015–1022.</w:t>
      </w:r>
    </w:p>
    <w:p>
      <w:pPr>
        <w:pStyle w:val="BodyText"/>
      </w:pPr>
      <w:r>
        <w:t xml:space="preserve">Eriksson, D. et al. (2019)</w:t>
      </w:r>
      <w:r>
        <w:t xml:space="preserve"> </w:t>
      </w:r>
      <w:r>
        <w:t xml:space="preserve">‘</w:t>
      </w:r>
      <w:r>
        <w:t xml:space="preserve">Scalable global optimization via local Bayesian optimization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Advances in Neural Information Processing Systems</w:t>
      </w:r>
      <w:r>
        <w:t xml:space="preserve">, 32.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2026-03-15T08:06:34Z</dcterms:created>
  <dcterms:modified xsi:type="dcterms:W3CDTF">2026-03-15T08:06:34Z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