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Required Capstone Component 17.1: Refining Strategies for the BBO Challenge</w:t>
      </w:r>
    </w:p>
    <w:p>
      <w:pPr>
        <w:pStyle w:val="Heading1"/>
      </w:pPr>
      <w:r>
        <w:t>Part 2: Reflection on Strategy — Sixth Iteration (15 Data Points)</w:t>
      </w:r>
    </w:p>
    <w:p>
      <w:pPr>
        <w:pStyle w:val="Heading2"/>
      </w:pPr>
      <w:r>
        <w:t>1. Progressive Feature Extraction and BBO Strategy Refinement</w:t>
      </w:r>
    </w:p>
    <w:p>
      <w:r>
        <w:t>CNNs construct understanding hierarchically: early layers detect edges, intermediate layers combine these into textures, and deep layers recognize semantic objects. This architecture directly shaped how I conceptualized my BBO strategy across iterations:</w:t>
      </w:r>
    </w:p>
    <w:p>
      <w:r>
        <w:rPr>
          <w:b/>
        </w:rPr>
        <w:t xml:space="preserve">Week 1–2 (Edge detection): </w:t>
      </w:r>
      <w:r>
        <w:t>Broad exploration to identify coarse structure—which regions showed any signal, which dimensions seemed influential. Like a first convolutional layer, queries captured basic "gradients" in the function landscape.</w:t>
      </w:r>
    </w:p>
    <w:p>
      <w:r>
        <w:rPr>
          <w:b/>
        </w:rPr>
        <w:t xml:space="preserve">Week 3–4 (Texture building): </w:t>
      </w:r>
      <w:r>
        <w:t>As observations accumulated, I began recognizing patterns—F5 and F8 exhibited steep ridges in specific dimensions, while F3 and F6 remained flat. My SVM classification approach emerged here, analogous to mid-layer feature combination.</w:t>
      </w:r>
    </w:p>
    <w:p>
      <w:r>
        <w:rPr>
          <w:b/>
        </w:rPr>
        <w:t xml:space="preserve">Week 5–6 (Object recognition): </w:t>
      </w:r>
      <w:r>
        <w:t>With 15 data points, the surrogate model now captures global structure. For high-performing functions, I apply gradient ascent on neural network surrogates—exploiting the learned "object-level" understanding.</w:t>
      </w:r>
    </w:p>
    <w:p>
      <w:pPr>
        <w:pStyle w:val="Heading2"/>
      </w:pPr>
      <w:r>
        <w:t>2. Parallels Between CNN Breakthroughs and Incremental BBO Improvements</w:t>
      </w:r>
    </w:p>
    <w:p>
      <w:r>
        <w:t>LeNet's success came not from a single innovation but from convergent improvements: better activations (ReLU), regularisation (dropout), and computational scale. My BBO progress mirrors this pattern: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CNN Innovation</w:t>
            </w:r>
          </w:p>
        </w:tc>
        <w:tc>
          <w:tcPr>
            <w:tcW w:type="dxa" w:w="4320"/>
          </w:tcPr>
          <w:p>
            <w:r>
              <w:rPr>
                <w:b/>
              </w:rPr>
              <w:t>BBO Strategy Parallel</w:t>
            </w:r>
          </w:p>
        </w:tc>
      </w:tr>
      <w:tr>
        <w:tc>
          <w:tcPr>
            <w:tcW w:type="dxa" w:w="4320"/>
          </w:tcPr>
          <w:p>
            <w:r>
              <w:t>Deeper architectures</w:t>
            </w:r>
          </w:p>
        </w:tc>
        <w:tc>
          <w:tcPr>
            <w:tcW w:type="dxa" w:w="4320"/>
          </w:tcPr>
          <w:p>
            <w:r>
              <w:t>Evolving from random sampling → GP-UCB → SVM classification → neural surrogates</w:t>
            </w:r>
          </w:p>
        </w:tc>
      </w:tr>
      <w:tr>
        <w:tc>
          <w:tcPr>
            <w:tcW w:type="dxa" w:w="4320"/>
          </w:tcPr>
          <w:p>
            <w:r>
              <w:t>Dropout regularisation</w:t>
            </w:r>
          </w:p>
        </w:tc>
        <w:tc>
          <w:tcPr>
            <w:tcW w:type="dxa" w:w="4320"/>
          </w:tcPr>
          <w:p>
            <w:r>
              <w:t>Maintaining exploration guards to prevent "overfitting" to local optima</w:t>
            </w:r>
          </w:p>
        </w:tc>
      </w:tr>
      <w:tr>
        <w:tc>
          <w:tcPr>
            <w:tcW w:type="dxa" w:w="4320"/>
          </w:tcPr>
          <w:p>
            <w:r>
              <w:t>Transfer learning</w:t>
            </w:r>
          </w:p>
        </w:tc>
        <w:tc>
          <w:tcPr>
            <w:tcW w:type="dxa" w:w="4320"/>
          </w:tcPr>
          <w:p>
            <w:r>
              <w:t>Carrying learned dimensional influences across iterations</w:t>
            </w:r>
          </w:p>
        </w:tc>
      </w:tr>
      <w:tr>
        <w:tc>
          <w:tcPr>
            <w:tcW w:type="dxa" w:w="4320"/>
          </w:tcPr>
          <w:p>
            <w:r>
              <w:t>Batch normalisation</w:t>
            </w:r>
          </w:p>
        </w:tc>
        <w:tc>
          <w:tcPr>
            <w:tcW w:type="dxa" w:w="4320"/>
          </w:tcPr>
          <w:p>
            <w:r>
              <w:t>Standardising observations before surrogate training</w:t>
            </w:r>
          </w:p>
        </w:tc>
      </w:tr>
    </w:tbl>
    <w:p/>
    <w:p>
      <w:r>
        <w:t>No single weekly submission produced dramatic jumps. Instead, compounding refinements—smarter acquisition functions, dimension-aware search, gradient-guided exploitation—mirror how deep learning advances accumulate into capability step-changes.</w:t>
      </w:r>
    </w:p>
    <w:p>
      <w:pPr>
        <w:pStyle w:val="Heading2"/>
      </w:pPr>
      <w:r>
        <w:t>3. Balancing Depth, Cost, and Overfitting vs. Explore/Exploit</w:t>
      </w:r>
    </w:p>
    <w:p>
      <w:r>
        <w:t>Training deep CNNs requires trading model capacity against overfitting risk and computational cost. I faced an identical tension:</w:t>
      </w:r>
    </w:p>
    <w:p>
      <w:r>
        <w:rPr>
          <w:b/>
        </w:rPr>
        <w:t xml:space="preserve">Exploitation (deep, focused): </w:t>
      </w:r>
      <w:r>
        <w:t>Refines known promising regions efficiently. Risk: premature convergence to local optima. Applied to: F5, F8 where surrogate confidence is high.</w:t>
      </w:r>
    </w:p>
    <w:p>
      <w:r>
        <w:rPr>
          <w:b/>
        </w:rPr>
        <w:t xml:space="preserve">Exploration (shallow, broad): </w:t>
      </w:r>
      <w:r>
        <w:t>Maintains coverage against unknown modes. Cost: expensive in limited query budget. Applied to: F1, F7 where signals remain weak.</w:t>
      </w:r>
    </w:p>
    <w:p>
      <w:r>
        <w:t>With only 15 observations per function, overfitting the surrogate model to noise is a real danger. My response: simpler GP kernels for low-dimensional functions, MLP ensembles (5 networks, variance as uncertainty proxy) for high-dimensional ones. The SVM classification layer acts as regularisation.</w:t>
      </w:r>
    </w:p>
    <w:p>
      <w:pPr>
        <w:pStyle w:val="Heading2"/>
      </w:pPr>
      <w:r>
        <w:t>4. CNN Building Blocks and Optimisation Learning</w:t>
      </w:r>
    </w:p>
    <w:p>
      <w:r>
        <w:rPr>
          <w:b/>
        </w:rPr>
        <w:t xml:space="preserve">Convolutions → Local Receptive Fields: </w:t>
      </w:r>
      <w:r>
        <w:t>Just as convolution kernels detect local patterns, my surrogate's GP length-scales control how "local" the learned structure is.</w:t>
      </w:r>
    </w:p>
    <w:p>
      <w:r>
        <w:rPr>
          <w:b/>
        </w:rPr>
        <w:t xml:space="preserve">Gradients → Query Direction: </w:t>
      </w:r>
      <w:r>
        <w:t>I compute gradients through my neural surrogate via backpropagation. This provides directional guidance—where to step next.</w:t>
      </w:r>
    </w:p>
    <w:p>
      <w:r>
        <w:rPr>
          <w:b/>
        </w:rPr>
        <w:t xml:space="preserve">Loss Functions → Acquisition Objectives: </w:t>
      </w:r>
      <w:r>
        <w:t>EI (Expected Improvement) and UCB serve as my "loss functions"—they encode what I value and guide optimisation.</w:t>
      </w:r>
    </w:p>
    <w:p>
      <w:r>
        <w:rPr>
          <w:b/>
        </w:rPr>
        <w:t xml:space="preserve">Pooling → Dimension Reduction: </w:t>
      </w:r>
      <w:r>
        <w:t>For F8 (8D), gradient magnitude analysis revealed only X1 and X3 matter. I effectively "pooled" the other 6 dimensions, fixing them at best-known values.</w:t>
      </w:r>
    </w:p>
    <w:p>
      <w:pPr>
        <w:pStyle w:val="Heading2"/>
      </w:pPr>
      <w:r>
        <w:t>5. Edge AI Deployment Constraints and Benchmarking Success</w:t>
      </w:r>
    </w:p>
    <w:p>
      <w:r>
        <w:t>Andrea Dunbar's discussion of deploying CNNs on edge devices—where latency, power, and memory constraints matter as much as accuracy—reshaped how I benchmark BBO success.</w:t>
      </w:r>
    </w:p>
    <w:p>
      <w:r>
        <w:rPr>
          <w:b/>
        </w:rPr>
        <w:t xml:space="preserve">Query budget as resource constraint: </w:t>
      </w:r>
      <w:r>
        <w:t>My 15-query limit mirrors edge compute limits. A strategy that finds the global optimum with 500 queries is useless here.</w:t>
      </w:r>
    </w:p>
    <w:p>
      <w:pPr>
        <w:pStyle w:val="ListBullet"/>
      </w:pPr>
      <w:r>
        <w:t>Beyond peak performance:</w:t>
      </w:r>
    </w:p>
    <w:p>
      <w:pPr>
        <w:pStyle w:val="ListBullet"/>
      </w:pPr>
      <w:r>
        <w:t>Sample efficiency: Information gained per query, not just final value</w:t>
      </w:r>
    </w:p>
    <w:p>
      <w:pPr>
        <w:pStyle w:val="ListBullet"/>
      </w:pPr>
      <w:r>
        <w:t>Robustness: Avoiding catastrophic failures in unexplored regions</w:t>
      </w:r>
    </w:p>
    <w:p>
      <w:pPr>
        <w:pStyle w:val="ListBullet"/>
      </w:pPr>
      <w:r>
        <w:t>Consistency: Steady improvement over iterations rather than lucky peaks</w:t>
      </w:r>
    </w:p>
    <w:p/>
    <w:p>
      <w:r>
        <w:t>This perspective means a lower maximum achieved through principled search may indicate better methodology than a high outlier from random chance—aligning with real-world deployment where reliability under constraints trumps theoretical optimality.</w:t>
      </w:r>
    </w:p>
    <w:p/>
    <w:p>
      <w:r>
        <w:rPr>
          <w:i/>
        </w:rPr>
        <w:t>Word count: 698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