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5cd650f2aedade5ca8a62605d4ad80316cfa93e"/>
    <w:p>
      <w:pPr>
        <w:pStyle w:val="Heading1"/>
      </w:pPr>
      <w:r>
        <w:t xml:space="preserve">Self-study Discussion 24.2 — Applying RL to the MAB Problem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t xml:space="preserve">24 — Reinforcement Learning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Self-study (not graded)</w:t>
      </w:r>
      <w:r>
        <w:t xml:space="preserve"> </w:t>
      </w:r>
      <w:r>
        <w:rPr>
          <w:bCs/>
          <w:b/>
        </w:rPr>
        <w:t xml:space="preserve">Cohort:</w:t>
      </w:r>
      <w:r>
        <w:t xml:space="preserve"> </w:t>
      </w:r>
      <w:r>
        <w:t xml:space="preserve">IMP-PCMLAI-25-08</w:t>
      </w:r>
    </w:p>
    <w:p>
      <w:r>
        <w:pict>
          <v:rect style="width:0;height:1.5pt" o:hralign="center" o:hrstd="t" o:hr="t"/>
        </w:pict>
      </w:r>
    </w:p>
    <w:bookmarkStart w:id="20" w:name="agent-actions-rewards-environment"/>
    <w:p>
      <w:pPr>
        <w:pStyle w:val="Heading2"/>
      </w:pPr>
      <w:r>
        <w:t xml:space="preserve">1. Agent, Actions, Rewards, Environment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RL Component</w:t>
            </w:r>
          </w:p>
        </w:tc>
        <w:tc>
          <w:p>
            <w:pPr>
              <w:pStyle w:val="Compact"/>
              <w:jc w:val="left"/>
            </w:pPr>
            <w:r>
              <w:t xml:space="preserve">Marketing Equivalent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p>
            <w:pPr>
              <w:pStyle w:val="Compact"/>
              <w:jc w:val="left"/>
            </w:pPr>
            <w:r>
              <w:t xml:space="preserve">The ad-selection algorithm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Actions</w:t>
            </w:r>
          </w:p>
        </w:tc>
        <w:tc>
          <w:p>
            <w:pPr>
              <w:pStyle w:val="Compact"/>
              <w:jc w:val="left"/>
            </w:pPr>
            <w:r>
              <w:t xml:space="preserve">Display ad A, B, or C to the current visitor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Reward</w:t>
            </w:r>
          </w:p>
        </w:tc>
        <w:tc>
          <w:p>
            <w:pPr>
              <w:pStyle w:val="Compact"/>
              <w:jc w:val="left"/>
            </w:pPr>
            <w:r>
              <w:t xml:space="preserve">1 (click) or 0 (no click)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t xml:space="preserve">The stream of visitors with unknown click propensities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p>
            <w:pPr>
              <w:pStyle w:val="Compact"/>
              <w:jc w:val="left"/>
            </w:pPr>
            <w:r>
              <w:t xml:space="preserve">Stateless — classic MAB assumes i.i.d. visitors</w:t>
            </w:r>
          </w:p>
        </w:tc>
      </w:tr>
    </w:tbl>
    <w:p>
      <w:pPr>
        <w:pStyle w:val="BodyText"/>
      </w:pPr>
      <w:r>
        <w:t xml:space="preserve">The agent observes no state transitions; each visitor is treated as an independent trial. This is precisely why MAB — rather than full RL — is the appropriate framework here.</w:t>
      </w:r>
    </w:p>
    <w:p>
      <w:r>
        <w:pict>
          <v:rect style="width:0;height:1.5pt" o:hralign="center" o:hrstd="t" o:hr="t"/>
        </w:pict>
      </w:r>
    </w:p>
    <w:bookmarkEnd w:id="20"/>
    <w:bookmarkStart w:id="21" w:name="X2e00614a7779fea8519d72b55b4bc2a8fdc71be"/>
    <w:p>
      <w:pPr>
        <w:pStyle w:val="Heading2"/>
      </w:pPr>
      <w:r>
        <w:t xml:space="preserve">2. Exploration vs Exploitation in Ad Selection</w:t>
      </w:r>
    </w:p>
    <w:p>
      <w:pPr>
        <w:pStyle w:val="FirstParagraph"/>
      </w:pPr>
      <w:r>
        <w:t xml:space="preserve">After each round, the agent updates its estimated CTR per ad. Two strategies illustrate the trade-off: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Exploitation:</w:t>
      </w:r>
      <w:r>
        <w:t xml:space="preserve"> </w:t>
      </w:r>
      <w:r>
        <w:t xml:space="preserve">Always show the ad with the highest estimated CTR. Risk: if Ad B received only two clicks early, it may be over-exploited before a truer estimate forms.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Exploration:</w:t>
      </w:r>
      <w:r>
        <w:t xml:space="preserve"> </w:t>
      </w:r>
      <w:r>
        <w:t xml:space="preserve">Occasionally serve lower-ranked ads to refine estimates. Risk: wasted impressions on inferior ads, reducing conversions.</w:t>
      </w:r>
    </w:p>
    <w:p>
      <w:pPr>
        <w:pStyle w:val="FirstParagraph"/>
      </w:pPr>
      <w:r>
        <w:rPr>
          <w:bCs/>
          <w:b/>
        </w:rPr>
        <w:t xml:space="preserve">ε-greedy</w:t>
      </w:r>
      <w:r>
        <w:t xml:space="preserve"> </w:t>
      </w:r>
      <w:r>
        <w:t xml:space="preserve">balances these directly: with probability ε show a random ad (explore), otherwise show the best-known ad (exploit).</w:t>
      </w:r>
      <w:r>
        <w:t xml:space="preserve"> </w:t>
      </w:r>
      <w:r>
        <w:rPr>
          <w:bCs/>
          <w:b/>
        </w:rPr>
        <w:t xml:space="preserve">UCB</w:t>
      </w:r>
      <w:r>
        <w:t xml:space="preserve"> </w:t>
      </w:r>
      <w:r>
        <w:t xml:space="preserve">provides a principled alternative — selecting the ad that maximises CTR estimate + confidence bonus, naturally reducing exploration as data accumulates.</w:t>
      </w:r>
    </w:p>
    <w:p>
      <w:r>
        <w:pict>
          <v:rect style="width:0;height:1.5pt" o:hralign="center" o:hrstd="t" o:hr="t"/>
        </w:pict>
      </w:r>
    </w:p>
    <w:bookmarkEnd w:id="21"/>
    <w:bookmarkStart w:id="22" w:name="adapting-to-non-stationary-ctr"/>
    <w:p>
      <w:pPr>
        <w:pStyle w:val="Heading2"/>
      </w:pPr>
      <w:r>
        <w:t xml:space="preserve">3. Adapting to Non-Stationary CTR</w:t>
      </w:r>
    </w:p>
    <w:p>
      <w:pPr>
        <w:pStyle w:val="FirstParagraph"/>
      </w:pPr>
      <w:r>
        <w:t xml:space="preserve">If Ad B’s CTR declines — due to audience fatigue or seasonal shifts — a static bandit algorithm will lag, continuing to exploit B based on stale estimates. Solutions: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Sliding window:</w:t>
      </w:r>
      <w:r>
        <w:t xml:space="preserve"> </w:t>
      </w:r>
      <w:r>
        <w:t xml:space="preserve">Weight only recent k impressions, discarding old data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Discounted UCB:</w:t>
      </w:r>
      <w:r>
        <w:t xml:space="preserve"> </w:t>
      </w:r>
      <w:r>
        <w:t xml:space="preserve">Multiply historical rewards by decay factor γ &lt; 1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Restless bandits:</w:t>
      </w:r>
      <w:r>
        <w:t xml:space="preserve"> </w:t>
      </w:r>
      <w:r>
        <w:t xml:space="preserve">Model each arm as having a time-varying latent state</w:t>
      </w:r>
    </w:p>
    <w:p>
      <w:pPr>
        <w:pStyle w:val="FirstParagraph"/>
      </w:pPr>
      <w:r>
        <w:t xml:space="preserve">These approaches convert the stationary MAB into a non-stationary one, more representative of real marketing environments.</w:t>
      </w:r>
    </w:p>
    <w:p>
      <w:r>
        <w:pict>
          <v:rect style="width:0;height:1.5pt" o:hralign="center" o:hrstd="t" o:hr="t"/>
        </w:pict>
      </w:r>
    </w:p>
    <w:bookmarkEnd w:id="22"/>
    <w:bookmarkStart w:id="23" w:name="feedback-signal-for-policy-refinement"/>
    <w:p>
      <w:pPr>
        <w:pStyle w:val="Heading2"/>
      </w:pPr>
      <w:r>
        <w:t xml:space="preserve">4. Feedback Signal for Policy Refinement</w:t>
      </w:r>
    </w:p>
    <w:p>
      <w:pPr>
        <w:pStyle w:val="FirstParagraph"/>
      </w:pPr>
      <w:r>
        <w:t xml:space="preserve">The binary click/no-click signal is a</w:t>
      </w:r>
      <w:r>
        <w:t xml:space="preserve"> </w:t>
      </w:r>
      <w:r>
        <w:rPr>
          <w:iCs/>
          <w:i/>
        </w:rPr>
        <w:t xml:space="preserve">sparse, immediate reward</w:t>
      </w:r>
      <w:r>
        <w:t xml:space="preserve">. The agent refines its policy by updating each arm’s estimated mean reward:</w:t>
      </w:r>
    </w:p>
    <w:p>
      <w:pPr>
        <w:pStyle w:val="BodyText"/>
      </w:pPr>
      <w:r>
        <w:rPr>
          <w:bCs/>
          <w:b/>
        </w:rPr>
        <w:t xml:space="preserve">Q(a) ← Q(a) + α[r − Q(a)]</w:t>
      </w:r>
    </w:p>
    <w:p>
      <w:pPr>
        <w:pStyle w:val="BodyText"/>
      </w:pPr>
      <w:r>
        <w:t xml:space="preserve">This incremental update is equivalent to a running average. Each impression provides an unbiased sample of the arm’s true CTR, progressively reducing estimation variance.</w:t>
      </w:r>
    </w:p>
    <w:p>
      <w:r>
        <w:pict>
          <v:rect style="width:0;height:1.5pt" o:hralign="center" o:hrstd="t" o:hr="t"/>
        </w:pict>
      </w:r>
    </w:p>
    <w:bookmarkEnd w:id="23"/>
    <w:bookmarkStart w:id="24" w:name="gittins-index"/>
    <w:p>
      <w:pPr>
        <w:pStyle w:val="Heading2"/>
      </w:pPr>
      <w:r>
        <w:t xml:space="preserve">5. Gittins Index</w:t>
      </w:r>
    </w:p>
    <w:p>
      <w:pPr>
        <w:pStyle w:val="FirstParagraph"/>
      </w:pPr>
      <w:r>
        <w:t xml:space="preserve">The Gittins index assigns each arm a single value representing the</w:t>
      </w:r>
      <w:r>
        <w:t xml:space="preserve"> </w:t>
      </w:r>
      <w:r>
        <w:rPr>
          <w:iCs/>
          <w:i/>
        </w:rPr>
        <w:t xml:space="preserve">opportunity cost of exploring that arm</w:t>
      </w:r>
      <w:r>
        <w:t xml:space="preserve"> </w:t>
      </w:r>
      <w:r>
        <w:t xml:space="preserve">— the maximum guaranteed reward rate achievable by focusing on it alone. Specifically, it answers:</w:t>
      </w:r>
      <w:r>
        <w:t xml:space="preserve"> </w:t>
      </w:r>
      <w:r>
        <w:t xml:space="preserve">“</w:t>
      </w:r>
      <w:r>
        <w:t xml:space="preserve">What constant reward rate would make me indifferent between pulling this arm and accepting a fixed payment?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Balancing exploration and exploitation:</w:t>
      </w:r>
      <w:r>
        <w:t xml:space="preserve"> </w:t>
      </w:r>
      <w:r>
        <w:t xml:space="preserve">The agent always pulls the arm with the highest Gittins index. Poorly-sampled arms have inflated indices (high uncertainty bonus), naturally incentivising exploration. As evidence accumulates, the index converges toward the true CTR, shifting the agent toward exploitation — without any manual ε tuning.</w:t>
      </w:r>
    </w:p>
    <w:p>
      <w:r>
        <w:pict>
          <v:rect style="width:0;height:1.5pt" o:hralign="center" o:hrstd="t" o:hr="t"/>
        </w:pict>
      </w:r>
    </w:p>
    <w:bookmarkEnd w:id="24"/>
    <w:bookmarkStart w:id="25" w:name="X774de1c45583fcf3a7bfbb81864e1044091af32"/>
    <w:p>
      <w:pPr>
        <w:pStyle w:val="Heading2"/>
      </w:pPr>
      <w:r>
        <w:t xml:space="preserve">6. Real-World MAB Analogy: Clinical Trial Dosing</w:t>
      </w:r>
    </w:p>
    <w:p>
      <w:pPr>
        <w:pStyle w:val="FirstParagraph"/>
      </w:pPr>
      <w:r>
        <w:t xml:space="preserve">In adaptive clinical trials, a physician chooses between dosage levels A, B, C for a new drug. Each administration yields a binary outcome (response / no response). A pure A/B/n test wastes patients on inferior doses; MAB with Thompson Sampling continuously shifts allocation toward the best-responding dose as evidence accumulates — improving patient outcomes</w:t>
      </w:r>
      <w:r>
        <w:t xml:space="preserve"> </w:t>
      </w:r>
      <w:r>
        <w:rPr>
          <w:iCs/>
          <w:i/>
        </w:rPr>
        <w:t xml:space="preserve">during</w:t>
      </w:r>
      <w:r>
        <w:t xml:space="preserve"> </w:t>
      </w:r>
      <w:r>
        <w:t xml:space="preserve">the trial, not just informing future practice. This directly mirrors the ad scenario: actions are doses, rewards are treatment responses, and the environment is the heterogeneous patient population.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~470 words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2026-03-15T07:17:30Z</dcterms:created>
  <dcterms:modified xsi:type="dcterms:W3CDTF">2026-03-15T07:17:30Z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