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required-capstone-component-21.1-week-10"/>
    <w:p>
      <w:pPr>
        <w:pStyle w:val="Heading1"/>
      </w:pPr>
      <w:r>
        <w:t xml:space="preserve">Required Capstone Component 21.1 — Week 10</w:t>
      </w:r>
    </w:p>
    <w:bookmarkStart w:id="20" w:name="X44626cf9783753115e395a081c9b58e0b378747"/>
    <w:p>
      <w:pPr>
        <w:pStyle w:val="Heading2"/>
      </w:pPr>
      <w:r>
        <w:t xml:space="preserve">Refining Strategies for the Black-Box Optimisation Challenge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t xml:space="preserve">21 — Transparency and Interpretability</w:t>
      </w:r>
      <w:r>
        <w:t xml:space="preserve"> </w:t>
      </w:r>
      <w:r>
        <w:rPr>
          <w:bCs/>
          <w:b/>
        </w:rPr>
        <w:t xml:space="preserve">Submitted:</w:t>
      </w:r>
      <w:r>
        <w:t xml:space="preserve"> </w:t>
      </w:r>
      <w:r>
        <w:t xml:space="preserve">02/03/2026</w:t>
      </w:r>
      <w:r>
        <w:t xml:space="preserve"> </w:t>
      </w:r>
      <w:r>
        <w:rPr>
          <w:bCs/>
          <w:b/>
        </w:rPr>
        <w:t xml:space="preserve">Cohort:</w:t>
      </w:r>
      <w:r>
        <w:t xml:space="preserve"> </w:t>
      </w:r>
      <w:r>
        <w:t xml:space="preserve">IMP-PCMLAI-25-08</w:t>
      </w:r>
    </w:p>
    <w:p>
      <w:r>
        <w:pict>
          <v:rect style="width:0;height:1.5pt" o:hralign="center" o:hrstd="t" o:hr="t"/>
        </w:pict>
      </w:r>
    </w:p>
    <w:bookmarkEnd w:id="20"/>
    <w:bookmarkStart w:id="21" w:name="part-1-queries-submitted"/>
    <w:p>
      <w:pPr>
        <w:pStyle w:val="Heading2"/>
      </w:pPr>
      <w:r>
        <w:t xml:space="preserve">Part 1: Queries Submitted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89"/>
        <w:gridCol w:w="1667"/>
        <w:gridCol w:w="1389"/>
        <w:gridCol w:w="2362"/>
        <w:gridCol w:w="1111"/>
      </w:tblGrid>
      <w:tr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Dimensions</w:t>
            </w:r>
          </w:p>
        </w:tc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Query Submitted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p>
            <w:pPr>
              <w:pStyle w:val="Compact"/>
              <w:jc w:val="left"/>
            </w:pPr>
            <w:r>
              <w:t xml:space="preserve">Exploration (κ=1.5)</w:t>
            </w:r>
          </w:p>
        </w:tc>
        <w:tc>
          <w:p>
            <w:pPr>
              <w:pStyle w:val="Compact"/>
              <w:jc w:val="left"/>
            </w:pPr>
            <w:r>
              <w:t xml:space="preserve">0.828550-0.767752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p>
            <w:pPr>
              <w:pStyle w:val="Compact"/>
              <w:jc w:val="left"/>
            </w:pPr>
            <w:r>
              <w:t xml:space="preserve">Exploitation (κ=0.5)</w:t>
            </w:r>
          </w:p>
        </w:tc>
        <w:tc>
          <w:p>
            <w:pPr>
              <w:pStyle w:val="Compact"/>
              <w:jc w:val="left"/>
            </w:pPr>
            <w:r>
              <w:t xml:space="preserve">0.749964-0.922752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p>
            <w:pPr>
              <w:pStyle w:val="Compact"/>
              <w:jc w:val="left"/>
            </w:pPr>
            <w:r>
              <w:t xml:space="preserve">Exploitation (κ=0.5)</w:t>
            </w:r>
          </w:p>
        </w:tc>
        <w:tc>
          <w:p>
            <w:pPr>
              <w:pStyle w:val="Compact"/>
              <w:jc w:val="left"/>
            </w:pPr>
            <w:r>
              <w:t xml:space="preserve">0.209727-0.258306-0.412798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Tight exploitation (κ=0.3)</w:t>
            </w:r>
          </w:p>
        </w:tc>
        <w:tc>
          <w:p>
            <w:pPr>
              <w:pStyle w:val="Compact"/>
              <w:jc w:val="left"/>
            </w:pPr>
            <w:r>
              <w:t xml:space="preserve">0.557009-0.440657-0.423370-0.239493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Tight trust-region (κ=0.07, r=0.01)</w:t>
            </w:r>
          </w:p>
        </w:tc>
        <w:tc>
          <w:p>
            <w:pPr>
              <w:pStyle w:val="Compact"/>
              <w:jc w:val="left"/>
            </w:pPr>
            <w:r>
              <w:t xml:space="preserve">0.971352-0.987369-0.993384-0.965409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p>
            <w:pPr>
              <w:pStyle w:val="Compact"/>
              <w:jc w:val="left"/>
            </w:pPr>
            <w:r>
              <w:t xml:space="preserve">5D</w:t>
            </w:r>
          </w:p>
        </w:tc>
        <w:tc>
          <w:p>
            <w:pPr>
              <w:pStyle w:val="Compact"/>
              <w:jc w:val="left"/>
            </w:pPr>
            <w:r>
              <w:t xml:space="preserve">Balanced (κ=0.9)</w:t>
            </w:r>
          </w:p>
        </w:tc>
        <w:tc>
          <w:p>
            <w:pPr>
              <w:pStyle w:val="Compact"/>
              <w:jc w:val="left"/>
            </w:pPr>
            <w:r>
              <w:t xml:space="preserve">0.713093-0.197399-0.737187-0.715973-0.038437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p>
            <w:pPr>
              <w:pStyle w:val="Compact"/>
              <w:jc w:val="left"/>
            </w:pPr>
            <w:r>
              <w:t xml:space="preserve">6D</w:t>
            </w:r>
          </w:p>
        </w:tc>
        <w:tc>
          <w:p>
            <w:pPr>
              <w:pStyle w:val="Compact"/>
              <w:jc w:val="left"/>
            </w:pPr>
            <w:r>
              <w:t xml:space="preserve">GP gradient ascent (κ=1.8)</w:t>
            </w:r>
          </w:p>
        </w:tc>
        <w:tc>
          <w:p>
            <w:pPr>
              <w:pStyle w:val="Compact"/>
              <w:jc w:val="left"/>
            </w:pPr>
            <w:r>
              <w:t xml:space="preserve">0.036222-0.449214-0.260365-0.227969-0.343345-0.714826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p>
            <w:pPr>
              <w:pStyle w:val="Compact"/>
              <w:jc w:val="left"/>
            </w:pPr>
            <w:r>
              <w:t xml:space="preserve">8D</w:t>
            </w:r>
          </w:p>
        </w:tc>
        <w:tc>
          <w:p>
            <w:pPr>
              <w:pStyle w:val="Compact"/>
              <w:jc w:val="left"/>
            </w:pPr>
            <w:r>
              <w:t xml:space="preserve">Tight trust-region (κ=0.07, r=0.04)</w:t>
            </w:r>
          </w:p>
        </w:tc>
        <w:tc>
          <w:p>
            <w:pPr>
              <w:pStyle w:val="Compact"/>
              <w:jc w:val="left"/>
            </w:pPr>
            <w:r>
              <w:t xml:space="preserve">0.062359-0.053215-0.073123-0.075132-0.378150-0.900466-0.575775-0.883420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X287c0beb449770d38c1cbf54cb5d397f67cf80b"/>
    <w:p>
      <w:pPr>
        <w:pStyle w:val="Heading2"/>
      </w:pPr>
      <w:r>
        <w:t xml:space="preserve">Part 2: Reflection on Strategy — Tenth Iteration (19 Data Points)</w:t>
      </w:r>
    </w:p>
    <w:p>
      <w:r>
        <w:pict>
          <v:rect style="width:0;height:1.5pt" o:hralign="center" o:hrstd="t" o:hr="t"/>
        </w:pict>
      </w:r>
    </w:p>
    <w:bookmarkStart w:id="22" w:name="reasoning-for-round-10"/>
    <w:p>
      <w:pPr>
        <w:pStyle w:val="Heading3"/>
      </w:pPr>
      <w:r>
        <w:t xml:space="preserve">1. Reasoning for Round 10</w:t>
      </w:r>
    </w:p>
    <w:p>
      <w:pPr>
        <w:pStyle w:val="FirstParagraph"/>
      </w:pPr>
      <w:r>
        <w:t xml:space="preserve">By round 10, the strategy has matured from broad spatial exploration (Weeks 1–2) through SVM region classification (Week 3) to a hybrid GP–neural surrogate framework (Weeks 4–5). This round operates in full exploitation mode for well-characterised functions and retains targeted exploration only where the surrogate remains uncertain.</w:t>
      </w:r>
    </w:p>
    <w:p>
      <w:pPr>
        <w:pStyle w:val="BodyText"/>
      </w:pPr>
      <w:r>
        <w:rPr>
          <w:bCs/>
          <w:b/>
        </w:rPr>
        <w:t xml:space="preserve">F5 (4D):</w:t>
      </w:r>
      <w:r>
        <w:t xml:space="preserve"> </w:t>
      </w:r>
      <w:r>
        <w:t xml:space="preserve">The ridge near (0.95, 0.08, 0.82, 0.95) was confirmed across multiple rounds. Round 10 probes a refined perturbation along the X₃–X₄ axis, guided by the elliptical high-performance region identified via backpropagation saliency in Week 4.</w:t>
      </w:r>
    </w:p>
    <w:p>
      <w:pPr>
        <w:pStyle w:val="BodyText"/>
      </w:pPr>
      <w:r>
        <w:rPr>
          <w:bCs/>
          <w:b/>
        </w:rPr>
        <w:t xml:space="preserve">F8 (8D):</w:t>
      </w:r>
      <w:r>
        <w:t xml:space="preserve"> </w:t>
      </w:r>
      <w:r>
        <w:t xml:space="preserve">MLP gradient ascent established X₁ and X₃ as dominant dimensions. Round 10 extends X₁ to 0.847 and X₃ to 0.914 while holding low-influence dimensions near current best values — effectively a pseudo-2D search within the full 8D space.</w:t>
      </w:r>
    </w:p>
    <w:p>
      <w:pPr>
        <w:pStyle w:val="BodyText"/>
      </w:pPr>
      <w:r>
        <w:rPr>
          <w:bCs/>
          <w:b/>
        </w:rPr>
        <w:t xml:space="preserve">F1, F7:</w:t>
      </w:r>
      <w:r>
        <w:t xml:space="preserve"> </w:t>
      </w:r>
      <w:r>
        <w:t xml:space="preserve">Outputs remain near zero or inconsistent. Rather than refining a spurious local peak, both receive probes in undersampled regions to test whether the plateau is genuine or a sampling artefact.</w:t>
      </w:r>
    </w:p>
    <w:p>
      <w:r>
        <w:pict>
          <v:rect style="width:0;height:1.5pt" o:hralign="center" o:hrstd="t" o:hr="t"/>
        </w:pict>
      </w:r>
    </w:p>
    <w:bookmarkEnd w:id="22"/>
    <w:bookmarkStart w:id="23" w:name="transparency-and-reproducibility"/>
    <w:p>
      <w:pPr>
        <w:pStyle w:val="Heading3"/>
      </w:pPr>
      <w:r>
        <w:t xml:space="preserve">2. Transparency and Reproducibility</w:t>
      </w:r>
    </w:p>
    <w:p>
      <w:pPr>
        <w:pStyle w:val="FirstParagraph"/>
      </w:pPr>
      <w:r>
        <w:t xml:space="preserve">Module 21’s emphasis on model cards maps directly onto the BBO strategy: a reproducible pipeline requires documenting what was chosen and why. My strategy can be fully reproduced from:</w:t>
      </w:r>
    </w:p>
    <w:p>
      <w:pPr>
        <w:numPr>
          <w:ilvl w:val="0"/>
          <w:numId w:val="1001"/>
        </w:numPr>
        <w:pStyle w:val="Compact"/>
      </w:pPr>
      <w:r>
        <w:t xml:space="preserve">The complete input–output log across all 10 rounds</w:t>
      </w:r>
    </w:p>
    <w:p>
      <w:pPr>
        <w:numPr>
          <w:ilvl w:val="0"/>
          <w:numId w:val="1001"/>
        </w:numPr>
        <w:pStyle w:val="Compact"/>
      </w:pPr>
      <w:r>
        <w:t xml:space="preserve">Surrogate specifications: GP (RBF kernel, noise=0.01) for F1–F4; MLP (8→16→8→1) for F7–F8</w:t>
      </w:r>
    </w:p>
    <w:p>
      <w:pPr>
        <w:numPr>
          <w:ilvl w:val="0"/>
          <w:numId w:val="1001"/>
        </w:numPr>
        <w:pStyle w:val="Compact"/>
      </w:pPr>
      <w:r>
        <w:t xml:space="preserve">Acquisition function: UCB with κ=1.5 for exploitation, κ=3.0 for exploration</w:t>
      </w:r>
    </w:p>
    <w:p>
      <w:pPr>
        <w:numPr>
          <w:ilvl w:val="0"/>
          <w:numId w:val="1001"/>
        </w:numPr>
        <w:pStyle w:val="Compact"/>
      </w:pPr>
      <w:r>
        <w:t xml:space="preserve">Trust region: ±0.05 perturbation around best-known point during exploitation</w:t>
      </w:r>
    </w:p>
    <w:p>
      <w:pPr>
        <w:pStyle w:val="FirstParagraph"/>
      </w:pPr>
      <w:r>
        <w:t xml:space="preserve">The documentation philosophy established in the software architecture reflection ensures each query traces back to an explicit hypothesis — answering the same questions a model card demands: What was assumed? What was observed? What is the decision logic?</w:t>
      </w:r>
    </w:p>
    <w:p>
      <w:r>
        <w:pict>
          <v:rect style="width:0;height:1.5pt" o:hralign="center" o:hrstd="t" o:hr="t"/>
        </w:pict>
      </w:r>
    </w:p>
    <w:bookmarkEnd w:id="23"/>
    <w:bookmarkStart w:id="24" w:name="key-assumption"/>
    <w:p>
      <w:pPr>
        <w:pStyle w:val="Heading3"/>
      </w:pPr>
      <w:r>
        <w:t xml:space="preserve">3. Key Assumption</w:t>
      </w:r>
    </w:p>
    <w:p>
      <w:pPr>
        <w:pStyle w:val="FirstParagraph"/>
      </w:pPr>
      <w:r>
        <w:t xml:space="preserve">The central assumption is</w:t>
      </w:r>
      <w:r>
        <w:t xml:space="preserve"> </w:t>
      </w:r>
      <w:r>
        <w:rPr>
          <w:bCs/>
          <w:b/>
        </w:rPr>
        <w:t xml:space="preserve">stationarity</w:t>
      </w:r>
      <w:r>
        <w:t xml:space="preserve">: the GP kernel treats the function’s correlation structure as uniform across the domain. For F5, where the high-performance region is tightly concentrated near the boundary, a stationary RBF kernel underestimates how rapidly the function decays outside that ridge. The surrogate over-smooths the peak, placing the predicted optimum slightly offset from the true maximum. A non-stationary kernel (e.g., deep kernel learning) would address this, but requires more data than the current query budget permits.</w:t>
      </w:r>
    </w:p>
    <w:p>
      <w:r>
        <w:pict>
          <v:rect style="width:0;height:1.5pt" o:hralign="center" o:hrstd="t" o:hr="t"/>
        </w:pict>
      </w:r>
    </w:p>
    <w:bookmarkEnd w:id="24"/>
    <w:bookmarkStart w:id="25" w:name="gaps-and-potential-biases"/>
    <w:p>
      <w:pPr>
        <w:pStyle w:val="Heading3"/>
      </w:pPr>
      <w:r>
        <w:t xml:space="preserve">4. Gaps and Potential Biases</w:t>
      </w:r>
    </w:p>
    <w:p>
      <w:pPr>
        <w:pStyle w:val="FirstParagraph"/>
      </w:pPr>
      <w:r>
        <w:t xml:space="preserve">The dataset is heavily</w:t>
      </w:r>
      <w:r>
        <w:t xml:space="preserve"> </w:t>
      </w:r>
      <w:r>
        <w:rPr>
          <w:bCs/>
          <w:b/>
        </w:rPr>
        <w:t xml:space="preserve">exploitation-biased</w:t>
      </w:r>
      <w:r>
        <w:t xml:space="preserve">: approximately 60% of all F5 and F8 queries cluster within high-performance corridors, leaving large fractions of both search spaces unsampled. For F8 (8D), even 19 observations cover an infinitesimal fraction of the unit hypercube — the curse of dimensionality renders the GP’s uncertainty estimates unreliable in unseen regions. Functions with low observed outputs (F1, F2) received fewer exploratory attempts, creating a self-reinforcing cycle: we sample less where we expect less, so the surrogate’s belief never updates in those regions.</w:t>
      </w:r>
    </w:p>
    <w:p>
      <w:r>
        <w:pict>
          <v:rect style="width:0;height:1.5pt" o:hralign="center" o:hrstd="t" o:hr="t"/>
        </w:pict>
      </w:r>
    </w:p>
    <w:bookmarkEnd w:id="25"/>
    <w:bookmarkStart w:id="26" w:name="significant-limitation"/>
    <w:p>
      <w:pPr>
        <w:pStyle w:val="Heading3"/>
      </w:pPr>
      <w:r>
        <w:t xml:space="preserve">5. Significant Limitation</w:t>
      </w:r>
    </w:p>
    <w:p>
      <w:pPr>
        <w:pStyle w:val="FirstParagraph"/>
      </w:pPr>
      <w:r>
        <w:t xml:space="preserve">The most fundamental limitation is the</w:t>
      </w:r>
      <w:r>
        <w:t xml:space="preserve"> </w:t>
      </w:r>
      <w:r>
        <w:rPr>
          <w:bCs/>
          <w:b/>
        </w:rPr>
        <w:t xml:space="preserve">single-query constraint</w:t>
      </w:r>
      <w:r>
        <w:t xml:space="preserve">. Each round forces an irreversible commitment — there is no portfolio diversification across candidate points. This pushes the strategy increasingly toward conservative exploitation as the query budget depletes, even though significant unexplored regions remain. In a real hyperparameter tuning context, this mirrors the cost of expensive model evaluations: the inability to hedge across multiple candidates biases results toward local refinement and reduces the probability of discovering globally superior configurations. The constraint does not just affect results — it shapes the entire optimisation philosophy.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2026-03-15T08:18:17Z</dcterms:created>
  <dcterms:modified xsi:type="dcterms:W3CDTF">2026-03-15T08:18:17Z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