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e06e122aa33976473d222849f9a55f8aad1cbbe"/>
    <w:p>
      <w:pPr>
        <w:pStyle w:val="Heading1"/>
      </w:pPr>
      <w:r>
        <w:t xml:space="preserve">Required Discussion 23.1 — Real-World Applications of PCA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t xml:space="preserve">23 — Dimensionality Reduction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Required (graded)</w:t>
      </w:r>
      <w:r>
        <w:t xml:space="preserve"> </w:t>
      </w:r>
      <w:r>
        <w:rPr>
          <w:bCs/>
          <w:b/>
        </w:rPr>
        <w:t xml:space="preserve">Cohort:</w:t>
      </w:r>
      <w:r>
        <w:t xml:space="preserve"> </w:t>
      </w:r>
      <w:r>
        <w:t xml:space="preserve">IMP-PCMLAI-25-08</w:t>
      </w:r>
    </w:p>
    <w:p>
      <w:r>
        <w:pict>
          <v:rect style="width:0;height:1.5pt" o:hralign="center" o:hrstd="t" o:hr="t"/>
        </w:pict>
      </w:r>
    </w:p>
    <w:bookmarkStart w:id="20" w:name="X6f338814e33af417ec838a94213238029e77265"/>
    <w:p>
      <w:pPr>
        <w:pStyle w:val="Heading2"/>
      </w:pPr>
      <w:r>
        <w:t xml:space="preserve">1. Industry Challenge: Factor Crowding in Systematic Equity Strategies</w:t>
      </w:r>
    </w:p>
    <w:p>
      <w:pPr>
        <w:pStyle w:val="FirstParagraph"/>
      </w:pPr>
      <w:r>
        <w:t xml:space="preserve">In quantitative asset management, a portfolio’s return stream depends on exposure to a large number of correlated signals — momentum, value, quality, low-volatility, earnings revision, and dozens of derived variants. A typical systematic equity strategy may track 50–200 individual alpha signals simultaneously. The challenge: many of these signals are highly collinear (momentum variants correlate ~0.7–0.9 with each other), making it impossible to tell which signals are genuinely contributing to returns, which are redundant, and whether the portfolio has unintended concentrated exposure to latent market factors.</w:t>
      </w:r>
    </w:p>
    <w:p>
      <w:pPr>
        <w:pStyle w:val="BodyText"/>
      </w:pPr>
      <w:r>
        <w:t xml:space="preserve">This problem, known in practice as</w:t>
      </w:r>
      <w:r>
        <w:t xml:space="preserve"> </w:t>
      </w:r>
      <w:r>
        <w:rPr>
          <w:iCs/>
          <w:i/>
        </w:rPr>
        <w:t xml:space="preserve">factor crowding</w:t>
      </w:r>
      <w:r>
        <w:t xml:space="preserve">, caused significant losses for quant funds during the</w:t>
      </w:r>
      <w:r>
        <w:t xml:space="preserve"> </w:t>
      </w:r>
      <w:r>
        <w:t xml:space="preserve">“</w:t>
      </w:r>
      <w:r>
        <w:t xml:space="preserve">quant quake</w:t>
      </w:r>
      <w:r>
        <w:t xml:space="preserve">”</w:t>
      </w:r>
      <w:r>
        <w:t xml:space="preserve"> </w:t>
      </w:r>
      <w:r>
        <w:t xml:space="preserve">of August 2007, when simultaneous de-leveraging exposed hidden correlations between ostensibly independent strategies (Khandani &amp; Lo, 2007).</w:t>
      </w:r>
    </w:p>
    <w:p>
      <w:r>
        <w:pict>
          <v:rect style="width:0;height:1.5pt" o:hralign="center" o:hrstd="t" o:hr="t"/>
        </w:pict>
      </w:r>
    </w:p>
    <w:bookmarkEnd w:id="20"/>
    <w:bookmarkStart w:id="21" w:name="how-pca-addresses-the-challenge"/>
    <w:p>
      <w:pPr>
        <w:pStyle w:val="Heading2"/>
      </w:pPr>
      <w:r>
        <w:t xml:space="preserve">2. How PCA Addresses the Challenge</w:t>
      </w:r>
    </w:p>
    <w:p>
      <w:pPr>
        <w:pStyle w:val="FirstParagraph"/>
      </w:pPr>
      <w:r>
        <w:t xml:space="preserve">PCA applied to a matrix of signal returns (T observations × N signals) extracts orthogonal principal components that explain the maximum variance in signal co-movement: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PC1</w:t>
      </w:r>
      <w:r>
        <w:t xml:space="preserve"> </w:t>
      </w:r>
      <w:r>
        <w:t xml:space="preserve">typically captures the broad market factor — the component to which most signals are exposed during risk-off episodes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PC2–PC5</w:t>
      </w:r>
      <w:r>
        <w:t xml:space="preserve"> </w:t>
      </w:r>
      <w:r>
        <w:t xml:space="preserve">often capture style tilts: value vs growth, small vs large cap, duration sensitivity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Residual components</w:t>
      </w:r>
      <w:r>
        <w:t xml:space="preserve"> </w:t>
      </w:r>
      <w:r>
        <w:t xml:space="preserve">represent idiosyncratic, decorrelated signal alpha</w:t>
      </w:r>
    </w:p>
    <w:p>
      <w:pPr>
        <w:pStyle w:val="FirstParagraph"/>
      </w:pPr>
      <w:r>
        <w:t xml:space="preserve">This decomposition delivers three practical benefits: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Dimensionality reduction:</w:t>
      </w:r>
      <w:r>
        <w:t xml:space="preserve"> </w:t>
      </w:r>
      <w:r>
        <w:t xml:space="preserve">Instead of monitoring 150 correlated signals, a risk manager monitors 10–15 principal components that explain 90%+ of variance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Crowding detection:</w:t>
      </w:r>
      <w:r>
        <w:t xml:space="preserve"> </w:t>
      </w:r>
      <w:r>
        <w:t xml:space="preserve">When PC1 loadings for all signals suddenly converge — indicating correlation has spiked — the system flags elevated systemic risk before losses occur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Portfolio construction:</w:t>
      </w:r>
      <w:r>
        <w:t xml:space="preserve"> </w:t>
      </w:r>
      <w:r>
        <w:t xml:space="preserve">Signals are orthogonalised against dominant PCs before combination, ensuring the final portfolio is not inadvertently over-exposed to a single latent factor</w:t>
      </w:r>
    </w:p>
    <w:p>
      <w:pPr>
        <w:pStyle w:val="FirstParagraph"/>
      </w:pPr>
      <w:r>
        <w:t xml:space="preserve">In practice, PCA is applied to rolling 60-day windows of daily signal returns, with the eigenvalue spectrum monitored for structural breaks indicating regime change.</w:t>
      </w:r>
    </w:p>
    <w:p>
      <w:r>
        <w:pict>
          <v:rect style="width:0;height:1.5pt" o:hralign="center" o:hrstd="t" o:hr="t"/>
        </w:pict>
      </w:r>
    </w:p>
    <w:bookmarkEnd w:id="21"/>
    <w:bookmarkStart w:id="22" w:name="is-pca-a-good-fit"/>
    <w:p>
      <w:pPr>
        <w:pStyle w:val="Heading2"/>
      </w:pPr>
      <w:r>
        <w:t xml:space="preserve">3. Is PCA a Good Fit?</w:t>
      </w:r>
    </w:p>
    <w:p>
      <w:pPr>
        <w:pStyle w:val="FirstParagraph"/>
      </w:pPr>
      <w:r>
        <w:rPr>
          <w:bCs/>
          <w:b/>
        </w:rPr>
        <w:t xml:space="preserve">Where PCA fits well:</w:t>
      </w:r>
    </w:p>
    <w:p>
      <w:pPr>
        <w:numPr>
          <w:ilvl w:val="0"/>
          <w:numId w:val="1003"/>
        </w:numPr>
        <w:pStyle w:val="Compact"/>
      </w:pPr>
      <w:r>
        <w:t xml:space="preserve">The signal matrix is genuinely high-dimensional and multicollinear — the exact setting where PCA provides maximum compression without information loss</w:t>
      </w:r>
    </w:p>
    <w:p>
      <w:pPr>
        <w:numPr>
          <w:ilvl w:val="0"/>
          <w:numId w:val="1003"/>
        </w:numPr>
        <w:pStyle w:val="Compact"/>
      </w:pPr>
      <w:r>
        <w:t xml:space="preserve">The goal is</w:t>
      </w:r>
      <w:r>
        <w:t xml:space="preserve"> </w:t>
      </w:r>
      <w:r>
        <w:rPr>
          <w:iCs/>
          <w:i/>
        </w:rPr>
        <w:t xml:space="preserve">relative</w:t>
      </w:r>
      <w:r>
        <w:t xml:space="preserve"> </w:t>
      </w:r>
      <w:r>
        <w:t xml:space="preserve">structure (which signals co-move?) rather than</w:t>
      </w:r>
      <w:r>
        <w:t xml:space="preserve"> </w:t>
      </w:r>
      <w:r>
        <w:rPr>
          <w:iCs/>
          <w:i/>
        </w:rPr>
        <w:t xml:space="preserve">absolute</w:t>
      </w:r>
      <w:r>
        <w:t xml:space="preserve"> </w:t>
      </w:r>
      <w:r>
        <w:t xml:space="preserve">prediction, playing to PCA’s strengths as an unsupervised method</w:t>
      </w:r>
    </w:p>
    <w:p>
      <w:pPr>
        <w:numPr>
          <w:ilvl w:val="0"/>
          <w:numId w:val="1003"/>
        </w:numPr>
        <w:pStyle w:val="Compact"/>
      </w:pPr>
      <w:r>
        <w:t xml:space="preserve">Interpretability of leading components is achievable: PC1’s loadings map clearly onto known market factors, enabling narrative explanation for risk committees</w:t>
      </w:r>
    </w:p>
    <w:p>
      <w:pPr>
        <w:pStyle w:val="FirstParagraph"/>
      </w:pPr>
      <w:r>
        <w:rPr>
          <w:bCs/>
          <w:b/>
        </w:rPr>
        <w:t xml:space="preserve">Where PCA is limited:</w:t>
      </w:r>
    </w:p>
    <w:p>
      <w:pPr>
        <w:numPr>
          <w:ilvl w:val="0"/>
          <w:numId w:val="1004"/>
        </w:numPr>
        <w:pStyle w:val="Compact"/>
      </w:pPr>
      <w:r>
        <w:t xml:space="preserve">PCA assumes linear relationships. Non-linear dependencies — for example, signals that only correlate during tail events (tail dependence) — are invisible to PCA. Kernel PCA or autoencoders may capture these but sacrifice interpretability</w:t>
      </w:r>
    </w:p>
    <w:p>
      <w:pPr>
        <w:numPr>
          <w:ilvl w:val="0"/>
          <w:numId w:val="1004"/>
        </w:numPr>
        <w:pStyle w:val="Compact"/>
      </w:pPr>
      <w:r>
        <w:t xml:space="preserve">PCA is sensitive to outliers. A single extreme return day (e.g. March 2020) can dominate the covariance estimate and distort the component structure. Robust PCA (via L1 decomposition) or winsorisation pre-processing is necessary in practice</w:t>
      </w:r>
    </w:p>
    <w:p>
      <w:pPr>
        <w:numPr>
          <w:ilvl w:val="0"/>
          <w:numId w:val="1004"/>
        </w:numPr>
        <w:pStyle w:val="Compact"/>
      </w:pPr>
      <w:r>
        <w:t xml:space="preserve">Financial covariance matrices are non-stationary: PCA components estimated on 2018–2020 data may not reflect the structure during 2022 inflation-driven regimes. Rolling or adaptive PCA is required, adding engineering complexity</w:t>
      </w:r>
    </w:p>
    <w:p>
      <w:pPr>
        <w:pStyle w:val="FirstParagraph"/>
      </w:pPr>
      <w:r>
        <w:rPr>
          <w:bCs/>
          <w:b/>
        </w:rPr>
        <w:t xml:space="preserve">Overall verdict:</w:t>
      </w:r>
      <w:r>
        <w:t xml:space="preserve"> </w:t>
      </w:r>
      <w:r>
        <w:t xml:space="preserve">PCA is a strong first-line tool for this problem — efficient, interpretable, and well-understood by quantitative risk teams. It is best used as a</w:t>
      </w:r>
      <w:r>
        <w:t xml:space="preserve"> </w:t>
      </w:r>
      <w:r>
        <w:rPr>
          <w:iCs/>
          <w:i/>
        </w:rPr>
        <w:t xml:space="preserve">diagnostic and preprocessing layer</w:t>
      </w:r>
      <w:r>
        <w:t xml:space="preserve"> </w:t>
      </w:r>
      <w:r>
        <w:t xml:space="preserve">rather than a standalone strategy component, augmented by robust estimation and rolling re-estimation.</w:t>
      </w:r>
    </w:p>
    <w:p>
      <w:r>
        <w:pict>
          <v:rect style="width:0;height:1.5pt" o:hralign="center" o:hrstd="t" o:hr="t"/>
        </w:pict>
      </w:r>
    </w:p>
    <w:bookmarkEnd w:id="22"/>
    <w:bookmarkStart w:id="23" w:name="open-question"/>
    <w:p>
      <w:pPr>
        <w:pStyle w:val="Heading2"/>
      </w:pPr>
      <w:r>
        <w:t xml:space="preserve">4. Open Question</w:t>
      </w:r>
    </w:p>
    <w:p>
      <w:pPr>
        <w:pStyle w:val="FirstParagraph"/>
      </w:pPr>
      <w:r>
        <w:t xml:space="preserve">When applying rolling PCA for real-time factor monitoring, how should one determine the optimal window length? A short window (20 days) is responsive to regime changes but produces noisy eigenvalue estimates; a long window (250 days) is stable but lags structural breaks. Are there principled methods — such as random matrix theory thresholds or online PCA algorithms — that adaptively select window length based on the stability of the eigenvalue spectrum itself?</w:t>
      </w:r>
    </w:p>
    <w:p>
      <w:r>
        <w:pict>
          <v:rect style="width:0;height:1.5pt" o:hralign="center" o:hrstd="t" o:hr="t"/>
        </w:pict>
      </w:r>
    </w:p>
    <w:bookmarkEnd w:id="23"/>
    <w:bookmarkStart w:id="24" w:name="reference"/>
    <w:p>
      <w:pPr>
        <w:pStyle w:val="Heading2"/>
      </w:pPr>
      <w:r>
        <w:t xml:space="preserve">Reference</w:t>
      </w:r>
    </w:p>
    <w:p>
      <w:pPr>
        <w:pStyle w:val="FirstParagraph"/>
      </w:pPr>
      <w:r>
        <w:t xml:space="preserve">Khandani, A.E. and Lo, A.W. (2007)</w:t>
      </w:r>
      <w:r>
        <w:t xml:space="preserve"> </w:t>
      </w:r>
      <w:r>
        <w:t xml:space="preserve">‘</w:t>
      </w:r>
      <w:r>
        <w:t xml:space="preserve">What happened to the quants in August 2007?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Journal of Investment Management</w:t>
      </w:r>
      <w:r>
        <w:t xml:space="preserve">, 5(4), pp. 5–54.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2026-03-15T08:00:53Z</dcterms:created>
  <dcterms:modified xsi:type="dcterms:W3CDTF">2026-03-15T08:00:53Z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