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c3ea04eb1559af398d34fbeada9cc43a3efb15"/>
    <w:p>
      <w:pPr>
        <w:pStyle w:val="Heading1"/>
      </w:pPr>
      <w:r>
        <w:t xml:space="preserve">Self-Study Discussion 22.4: Real-World Applications of Data Clustering</w:t>
      </w:r>
    </w:p>
    <w:bookmarkStart w:id="20" w:name="X8bb9204e7b498130d55487c0c2db9a1f8724ab4"/>
    <w:p>
      <w:pPr>
        <w:pStyle w:val="Heading2"/>
      </w:pPr>
      <w:r>
        <w:t xml:space="preserve">Clustering for Market Regime Detection in Quantitative Finance</w:t>
      </w:r>
    </w:p>
    <w:p>
      <w:r>
        <w:pict>
          <v:rect style="width:0;height:1.5pt" o:hralign="center" o:hrstd="t" o:hr="t"/>
        </w:pict>
      </w:r>
    </w:p>
    <w:p>
      <w:pPr>
        <w:pStyle w:val="FirstParagraph"/>
      </w:pPr>
      <w:r>
        <w:rPr>
          <w:bCs/>
          <w:b/>
        </w:rPr>
        <w:t xml:space="preserve">The industry challenge</w:t>
      </w:r>
    </w:p>
    <w:p>
      <w:pPr>
        <w:pStyle w:val="BodyText"/>
      </w:pPr>
      <w:r>
        <w:t xml:space="preserve">My capstone project centres on the Hull Tactical S&amp;P 500 market return prediction task. One persistent difficulty in financial machine learning is that market dynamics are non-stationary: a model calibrated during a low-volatility, trending environment may fail catastrophically during a crisis. Practitioners call these distinct operating environments</w:t>
      </w:r>
      <w:r>
        <w:t xml:space="preserve"> </w:t>
      </w:r>
      <w:r>
        <w:rPr>
          <w:iCs/>
          <w:i/>
        </w:rPr>
        <w:t xml:space="preserve">market regimes</w:t>
      </w:r>
      <w:r>
        <w:t xml:space="preserve"> </w:t>
      </w:r>
      <w:r>
        <w:t xml:space="preserve">— bull markets, bear markets, high-volatility stress periods, low-rate reflation periods — but no label cleanly demarcates them in the raw data. The challenge is to identify these regimes from observable indicators alone, then train separate predictive models for each regime or use regime membership as a feature.</w:t>
      </w:r>
    </w:p>
    <w:p>
      <w:r>
        <w:pict>
          <v:rect style="width:0;height:1.5pt" o:hralign="center" o:hrstd="t" o:hr="t"/>
        </w:pict>
      </w:r>
    </w:p>
    <w:p>
      <w:pPr>
        <w:pStyle w:val="FirstParagraph"/>
      </w:pPr>
      <w:r>
        <w:rPr>
          <w:bCs/>
          <w:b/>
        </w:rPr>
        <w:t xml:space="preserve">How clustering could address this challenge</w:t>
      </w:r>
    </w:p>
    <w:p>
      <w:pPr>
        <w:pStyle w:val="BodyText"/>
      </w:pPr>
      <w:r>
        <w:t xml:space="preserve">K-means or Gaussian Mixture Models (GMM) applied to a feature matrix comprising volatility (VIX), yield curve slope, momentum indicators and economic signals could group historical time periods into latent market states. Once regimes are identified, each cluster’s centroid becomes an interpretable archetype:</w:t>
      </w:r>
      <w:r>
        <w:t xml:space="preserve"> </w:t>
      </w:r>
      <w:r>
        <w:t xml:space="preserve">“</w:t>
      </w:r>
      <w:r>
        <w:t xml:space="preserve">high-VIX, inverted-yield-curve, negative-momentum</w:t>
      </w:r>
      <w:r>
        <w:t xml:space="preserve">”</w:t>
      </w:r>
      <w:r>
        <w:t xml:space="preserve"> </w:t>
      </w:r>
      <w:r>
        <w:t xml:space="preserve">maps naturally to a crisis regime. A new observation can then be classified by proximity to the nearest centroid, gating which sub-model makes the return prediction.</w:t>
      </w:r>
    </w:p>
    <w:p>
      <w:pPr>
        <w:pStyle w:val="BodyText"/>
      </w:pPr>
      <w:r>
        <w:t xml:space="preserve">Hierarchical clustering on a correlation matrix of asset returns could serve a complementary purpose: revealing which return drivers co-move in each regime, informing feature selection for the predictive layer.</w:t>
      </w:r>
    </w:p>
    <w:p>
      <w:r>
        <w:pict>
          <v:rect style="width:0;height:1.5pt" o:hralign="center" o:hrstd="t" o:hr="t"/>
        </w:pict>
      </w:r>
    </w:p>
    <w:p>
      <w:pPr>
        <w:pStyle w:val="FirstParagraph"/>
      </w:pPr>
      <w:r>
        <w:rPr>
          <w:bCs/>
          <w:b/>
        </w:rPr>
        <w:t xml:space="preserve">Why clustering is a good fit</w:t>
      </w:r>
    </w:p>
    <w:p>
      <w:pPr>
        <w:pStyle w:val="BodyText"/>
      </w:pPr>
      <w:r>
        <w:t xml:space="preserve">This is precisely the type of problem where labels are unavailable — no index definitively marks</w:t>
      </w:r>
      <w:r>
        <w:t xml:space="preserve"> </w:t>
      </w:r>
      <w:r>
        <w:t xml:space="preserve">“</w:t>
      </w:r>
      <w:r>
        <w:t xml:space="preserve">regime start</w:t>
      </w:r>
      <w:r>
        <w:t xml:space="preserve">”</w:t>
      </w:r>
      <w:r>
        <w:t xml:space="preserve"> </w:t>
      </w:r>
      <w:r>
        <w:t xml:space="preserve">and</w:t>
      </w:r>
      <w:r>
        <w:t xml:space="preserve"> </w:t>
      </w:r>
      <w:r>
        <w:t xml:space="preserve">“</w:t>
      </w:r>
      <w:r>
        <w:t xml:space="preserve">regime end.</w:t>
      </w:r>
      <w:r>
        <w:t xml:space="preserve">”</w:t>
      </w:r>
      <w:r>
        <w:t xml:space="preserve"> </w:t>
      </w:r>
      <w:r>
        <w:t xml:space="preserve">Clustering lets the data impose its own structure without requiring a human to annotate thousands of trading days. The resulting segments are also directly actionable: regime-conditional models can be retrained, monitored and updated as new regimes emerge. This aligns with the forward-chaining validation approach I used in the Hull Tactical capstone, where the model must generalise to unseen future periods.</w:t>
      </w:r>
    </w:p>
    <w:p>
      <w:r>
        <w:pict>
          <v:rect style="width:0;height:1.5pt" o:hralign="center" o:hrstd="t" o:hr="t"/>
        </w:pict>
      </w:r>
    </w:p>
    <w:p>
      <w:pPr>
        <w:pStyle w:val="FirstParagraph"/>
      </w:pPr>
      <w:r>
        <w:rPr>
          <w:bCs/>
          <w:b/>
        </w:rPr>
        <w:t xml:space="preserve">Practical challenges</w:t>
      </w:r>
    </w:p>
    <w:p>
      <w:pPr>
        <w:pStyle w:val="BodyText"/>
      </w:pPr>
      <w:r>
        <w:t xml:space="preserve">Three stand out. First,</w:t>
      </w:r>
      <w:r>
        <w:t xml:space="preserve"> </w:t>
      </w:r>
      <w:r>
        <w:rPr>
          <w:bCs/>
          <w:b/>
        </w:rPr>
        <w:t xml:space="preserve">feature selection</w:t>
      </w:r>
      <w:r>
        <w:t xml:space="preserve"> </w:t>
      </w:r>
      <w:r>
        <w:t xml:space="preserve">is consequential — including correlated or irrelevant indicators inflates distance metrics and produces spurious clusters. Second,</w:t>
      </w:r>
      <w:r>
        <w:t xml:space="preserve"> </w:t>
      </w:r>
      <w:r>
        <w:rPr>
          <w:bCs/>
          <w:b/>
        </w:rPr>
        <w:t xml:space="preserve">regime transitions</w:t>
      </w:r>
      <w:r>
        <w:t xml:space="preserve"> </w:t>
      </w:r>
      <w:r>
        <w:t xml:space="preserve">are gradual rather than abrupt; assigning a hard cluster label to a transition period introduces noise into any downstream model. Third,</w:t>
      </w:r>
      <w:r>
        <w:t xml:space="preserve"> </w:t>
      </w:r>
      <w:r>
        <w:rPr>
          <w:bCs/>
          <w:b/>
        </w:rPr>
        <w:t xml:space="preserve">temporal dependency</w:t>
      </w:r>
      <w:r>
        <w:t xml:space="preserve"> </w:t>
      </w:r>
      <w:r>
        <w:t xml:space="preserve">violates the i.i.d. assumption underlying most clustering algorithms: adjacent time periods are correlated, so standard silhouette scores may overestimate cluster quality. GMM partially addresses this through soft assignments, but does not resolve the autocorrelation issue.</w:t>
      </w:r>
    </w:p>
    <w:p>
      <w:r>
        <w:pict>
          <v:rect style="width:0;height:1.5pt" o:hralign="center" o:hrstd="t" o:hr="t"/>
        </w:pict>
      </w:r>
    </w:p>
    <w:p>
      <w:pPr>
        <w:pStyle w:val="FirstParagraph"/>
      </w:pPr>
      <w:r>
        <w:rPr>
          <w:bCs/>
          <w:b/>
        </w:rPr>
        <w:t xml:space="preserve">Open questions</w:t>
      </w:r>
    </w:p>
    <w:p>
      <w:pPr>
        <w:pStyle w:val="BodyText"/>
      </w:pPr>
      <w:r>
        <w:t xml:space="preserve">How many regimes genuinely exist in equity markets — two (risk-on/risk-off), four or more? The answer is sensitive to the time horizon examined and the feature set used, and there is no ground truth to validate against. I also remain uncertain how to handle regime-switching in real time: a model that detects a regime shift one month late is potentially worse than one that ignores regimes entirely, because it triggers a strategy change at exactly the wrong moment.</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2026-03-02T05:18:25Z</dcterms:created>
  <dcterms:modified xsi:type="dcterms:W3CDTF">2026-03-02T05:18:25Z</dcterms:modified>
</cp:coreProperties>
</file>

<file path=docProps/custom.xml><?xml version="1.0" encoding="utf-8"?>
<Properties xmlns="http://schemas.openxmlformats.org/officeDocument/2006/custom-properties" xmlns:vt="http://schemas.openxmlformats.org/officeDocument/2006/docPropsVTypes"/>
</file>