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Self-study Discussion 19.3: Applying the Emergence to Prompt Engineering</w:t>
      </w:r>
    </w:p>
    <w:p/>
    <w:p>
      <w:pPr>
        <w:pStyle w:val="Heading1"/>
      </w:pPr>
      <w:r>
        <w:t>Part 1: Reading and Reflection</w:t>
      </w:r>
    </w:p>
    <w:p>
      <w:r>
        <w:rPr>
          <w:b/>
        </w:rPr>
        <w:t>How would you define a 'prompt' in your own words?</w:t>
      </w:r>
    </w:p>
    <w:p>
      <w:r>
        <w:t>A prompt is the structured interface between human intent and model capability. It's not merely a question—it's a specification that includes context, constraints, role definitions, and examples that collectively steer the model toward a particular region of its learned probability distribution.</w:t>
      </w:r>
    </w:p>
    <w:p>
      <w:r>
        <w:rPr>
          <w:b/>
        </w:rPr>
        <w:t>What role does the user play in shaping how the model responds?</w:t>
      </w:r>
    </w:p>
    <w:p>
      <w:r>
        <w:t>The user acts as a director. LLMs don't independently decide what matters—they respond to statistical patterns activated by the input. By choosing phrasing, structure, examples, and constraints, users dramatically influence output quality.</w:t>
      </w:r>
    </w:p>
    <w:p>
      <w:r>
        <w:rPr>
          <w:b/>
        </w:rPr>
        <w:t>Why might prompt engineering matter more because of emergence?</w:t>
      </w:r>
    </w:p>
    <w:p>
      <w:r>
        <w:t>Emergent abilities (reasoning, arithmetic, summarisation) aren't explicitly programmed—they arise from scale and training dynamics. These capabilities are latent: present but not automatically activated. Prompt engineering matters because the right framing can unlock abilities that remain dormant with poor prompts.</w:t>
      </w:r>
    </w:p>
    <w:p>
      <w:r>
        <w:rPr>
          <w:b/>
        </w:rPr>
        <w:t>Can prompting be seen as a way to access hidden capabilities?</w:t>
      </w:r>
    </w:p>
    <w:p>
      <w:r>
        <w:t>Yes. Techniques like chain-of-thought ("think step by step") or few-shot examples activate reasoning pathways that simple queries bypass. The capability exists within the weights; prompting provides the key to access it.</w:t>
      </w:r>
    </w:p>
    <w:p>
      <w:pPr>
        <w:pStyle w:val="Heading1"/>
      </w:pPr>
      <w:r>
        <w:t>Part 2: Experiment and Compare</w:t>
      </w:r>
    </w:p>
    <w:p>
      <w:r>
        <w:t>Task: Explain photosynthesis to a 10-year-old child (using Claude).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Prompt Pattern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Approach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Result Quality</w:t>
            </w:r>
          </w:p>
        </w:tc>
      </w:tr>
      <w:tr>
        <w:tc>
          <w:tcPr>
            <w:tcW w:type="dxa" w:w="2880"/>
          </w:tcPr>
          <w:p>
            <w:r>
              <w:t>Simple</w:t>
            </w:r>
          </w:p>
        </w:tc>
        <w:tc>
          <w:tcPr>
            <w:tcW w:type="dxa" w:w="2880"/>
          </w:tcPr>
          <w:p>
            <w:r>
              <w:t>"Explain photosynthesis"</w:t>
            </w:r>
          </w:p>
        </w:tc>
        <w:tc>
          <w:tcPr>
            <w:tcW w:type="dxa" w:w="2880"/>
          </w:tcPr>
          <w:p>
            <w:r>
              <w:t>Accurate but textbook-like</w:t>
            </w:r>
          </w:p>
        </w:tc>
      </w:tr>
      <w:tr>
        <w:tc>
          <w:tcPr>
            <w:tcW w:type="dxa" w:w="2880"/>
          </w:tcPr>
          <w:p>
            <w:r>
              <w:t>Role-based</w:t>
            </w:r>
          </w:p>
        </w:tc>
        <w:tc>
          <w:tcPr>
            <w:tcW w:type="dxa" w:w="2880"/>
          </w:tcPr>
          <w:p>
            <w:r>
              <w:t>"You are a friendly science teacher..."</w:t>
            </w:r>
          </w:p>
        </w:tc>
        <w:tc>
          <w:tcPr>
            <w:tcW w:type="dxa" w:w="2880"/>
          </w:tcPr>
          <w:p>
            <w:r>
              <w:t>Warmer tone, simpler vocabulary</w:t>
            </w:r>
          </w:p>
        </w:tc>
      </w:tr>
      <w:tr>
        <w:tc>
          <w:tcPr>
            <w:tcW w:type="dxa" w:w="2880"/>
          </w:tcPr>
          <w:p>
            <w:r>
              <w:t>Step-by-step</w:t>
            </w:r>
          </w:p>
        </w:tc>
        <w:tc>
          <w:tcPr>
            <w:tcW w:type="dxa" w:w="2880"/>
          </w:tcPr>
          <w:p>
            <w:r>
              <w:t>"Explain in 4 steps..."</w:t>
            </w:r>
          </w:p>
        </w:tc>
        <w:tc>
          <w:tcPr>
            <w:tcW w:type="dxa" w:w="2880"/>
          </w:tcPr>
          <w:p>
            <w:r>
              <w:t>Highly structured, logical</w:t>
            </w:r>
          </w:p>
        </w:tc>
      </w:tr>
      <w:tr>
        <w:tc>
          <w:tcPr>
            <w:tcW w:type="dxa" w:w="2880"/>
          </w:tcPr>
          <w:p>
            <w:r>
              <w:t>Few-shot</w:t>
            </w:r>
          </w:p>
        </w:tc>
        <w:tc>
          <w:tcPr>
            <w:tcW w:type="dxa" w:w="2880"/>
          </w:tcPr>
          <w:p>
            <w:r>
              <w:t>Provided example style</w:t>
            </w:r>
          </w:p>
        </w:tc>
        <w:tc>
          <w:tcPr>
            <w:tcW w:type="dxa" w:w="2880"/>
          </w:tcPr>
          <w:p>
            <w:r>
              <w:t>Matched tone precisely</w:t>
            </w:r>
          </w:p>
        </w:tc>
      </w:tr>
    </w:tbl>
    <w:p/>
    <w:p>
      <w:r>
        <w:t>(Screenshots would be attached here)</w:t>
      </w:r>
    </w:p>
    <w:p>
      <w:r>
        <w:rPr>
          <w:b/>
        </w:rPr>
        <w:t xml:space="preserve">Risks observed: </w:t>
      </w:r>
      <w:r>
        <w:t>Hallucinations with creative prompts; unpredictability from small phrasing changes; overconfidence in uncertain outputs.</w:t>
      </w:r>
    </w:p>
    <w:p>
      <w:r>
        <w:rPr>
          <w:b/>
        </w:rPr>
        <w:t xml:space="preserve">Balancing creativity with control: </w:t>
      </w:r>
      <w:r>
        <w:t>Combine constraints (word limits, audience, format) with creative framing. Use negative constraints alongside positive guidance.</w:t>
      </w:r>
    </w:p>
    <w:p>
      <w:pPr>
        <w:pStyle w:val="Heading1"/>
      </w:pPr>
      <w:r>
        <w:t>Part 3: Connection to Emergence</w:t>
      </w:r>
    </w:p>
    <w:p>
      <w:r>
        <w:rPr>
          <w:b/>
        </w:rPr>
        <w:t>Why do some prompts unlock abilities more effectively?</w:t>
      </w:r>
    </w:p>
    <w:p>
      <w:r>
        <w:t>Certain prompts align with patterns learned during training. Chain-of-thought activates sequential reasoning; few-shot examples prime pattern recognition. These structures reduce ambiguity.</w:t>
      </w:r>
    </w:p>
    <w:p>
      <w:r>
        <w:rPr>
          <w:b/>
        </w:rPr>
        <w:t>How do emergence and prompting together provide usable capabilities?</w:t>
      </w:r>
    </w:p>
    <w:p>
      <w:r>
        <w:t>Emergence supplies potential; prompting provides activation. The model possesses latent reasoning abilities—but these remain inaccessible without appropriate prompts.</w:t>
      </w:r>
    </w:p>
    <w:p>
      <w:r>
        <w:rPr>
          <w:b/>
        </w:rPr>
        <w:t xml:space="preserve">User responsibility: </w:t>
      </w:r>
      <w:r>
        <w:t>Verification (fluency ≠ correctness), ethical framing, and task scoping. Prompt engineering shifts AI interaction from passive querying to active collaboration.</w:t>
      </w:r>
    </w:p>
    <w:p/>
    <w:p>
      <w:r>
        <w:rPr>
          <w:i/>
        </w:rPr>
        <w:t>Word count: 498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