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0734e8dd655263f01dfdef0c270e420b0df41e9"/>
    <w:p>
      <w:pPr>
        <w:pStyle w:val="Heading1"/>
      </w:pPr>
      <w:r>
        <w:t xml:space="preserve">Self-study Discussion 24.3 — Applications of RL in My Industry</w:t>
      </w:r>
    </w:p>
    <w:p>
      <w:pPr>
        <w:pStyle w:val="FirstParagraph"/>
      </w:pPr>
      <w:r>
        <w:rPr>
          <w:bCs/>
          <w:b/>
        </w:rPr>
        <w:t xml:space="preserve">Module:</w:t>
      </w:r>
      <w:r>
        <w:t xml:space="preserve"> </w:t>
      </w:r>
      <w:r>
        <w:t xml:space="preserve">24 — Reinforcement Learning</w:t>
      </w:r>
      <w:r>
        <w:t xml:space="preserve"> </w:t>
      </w:r>
      <w:r>
        <w:rPr>
          <w:bCs/>
          <w:b/>
        </w:rPr>
        <w:t xml:space="preserve">Type:</w:t>
      </w:r>
      <w:r>
        <w:t xml:space="preserve"> </w:t>
      </w:r>
      <w:r>
        <w:t xml:space="preserve">Self-study (not graded)</w:t>
      </w:r>
      <w:r>
        <w:t xml:space="preserve"> </w:t>
      </w:r>
      <w:r>
        <w:rPr>
          <w:bCs/>
          <w:b/>
        </w:rPr>
        <w:t xml:space="preserve">Cohort:</w:t>
      </w:r>
      <w:r>
        <w:t xml:space="preserve"> </w:t>
      </w:r>
      <w:r>
        <w:t xml:space="preserve">IMP-PCMLAI-25-08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Industry:</w:t>
      </w:r>
      <w:r>
        <w:t xml:space="preserve"> </w:t>
      </w:r>
      <w:r>
        <w:t xml:space="preserve">Quantitative Finance / Systematic Trading (Hull Tactical Asset Allocation)</w:t>
      </w:r>
    </w:p>
    <w:p>
      <w:pPr>
        <w:pStyle w:val="BodyText"/>
      </w:pPr>
      <w:r>
        <w:rPr>
          <w:bCs/>
          <w:b/>
        </w:rPr>
        <w:t xml:space="preserve">Challenge:</w:t>
      </w:r>
      <w:r>
        <w:t xml:space="preserve"> </w:t>
      </w:r>
      <w:r>
        <w:t xml:space="preserve">Dynamic portfolio rebalancing — deciding when and how much to shift allocations across asset classes (equities, bonds, commodities) to maximise risk-adjusted returns over rolling horizons.</w:t>
      </w:r>
    </w:p>
    <w:p>
      <w:r>
        <w:pict>
          <v:rect style="width:0;height:1.5pt" o:hralign="center" o:hrstd="t" o:hr="t"/>
        </w:pict>
      </w:r>
    </w:p>
    <w:bookmarkStart w:id="20" w:name="approach-selection-model-based"/>
    <w:p>
      <w:pPr>
        <w:pStyle w:val="Heading2"/>
      </w:pPr>
      <w:r>
        <w:t xml:space="preserve">1. Approach Selection: Model-Based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model-based</w:t>
      </w:r>
      <w:r>
        <w:t xml:space="preserve"> </w:t>
      </w:r>
      <w:r>
        <w:t xml:space="preserve">approach is most appropriate here. Financial markets have well-studied structural properties — mean reversion, momentum, volatility clustering — that enable partial environment modelling without full observability. Key considerations: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Simulation availability:</w:t>
      </w:r>
      <w:r>
        <w:t xml:space="preserve"> </w:t>
      </w:r>
      <w:r>
        <w:t xml:space="preserve">Historical market data enables realistic backtesting environments (e.g. OpenAI Gym-compatible market simulators)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Safety:</w:t>
      </w:r>
      <w:r>
        <w:t xml:space="preserve"> </w:t>
      </w:r>
      <w:r>
        <w:t xml:space="preserve">Model-free exploration in live markets is financially catastrophic; a learned world model allows safe policy optimisation offline before deployment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Interpretability:</w:t>
      </w:r>
      <w:r>
        <w:t xml:space="preserve"> </w:t>
      </w:r>
      <w:r>
        <w:t xml:space="preserve">Regulators and risk committees require explainable allocation rationale — model-based agents expose their transition assumptions explicitly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Sample efficiency:</w:t>
      </w:r>
      <w:r>
        <w:t xml:space="preserve"> </w:t>
      </w:r>
      <w:r>
        <w:t xml:space="preserve">Market regimes shift infrequently; model-free methods require millions of transitions to converge, whereas model-based agents generalise from hundreds of episodes</w:t>
      </w:r>
    </w:p>
    <w:p>
      <w:r>
        <w:pict>
          <v:rect style="width:0;height:1.5pt" o:hralign="center" o:hrstd="t" o:hr="t"/>
        </w:pict>
      </w:r>
    </w:p>
    <w:bookmarkEnd w:id="20"/>
    <w:bookmarkStart w:id="21" w:name="data-requirements"/>
    <w:p>
      <w:pPr>
        <w:pStyle w:val="Heading2"/>
      </w:pPr>
      <w:r>
        <w:t xml:space="preserve">2. Data Requirements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Data type</w:t>
            </w:r>
          </w:p>
        </w:tc>
        <w:tc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Price/return time series</w:t>
            </w:r>
          </w:p>
        </w:tc>
        <w:tc>
          <w:p>
            <w:pPr>
              <w:pStyle w:val="Compact"/>
              <w:jc w:val="left"/>
            </w:pPr>
            <w:r>
              <w:t xml:space="preserve">Primary state representation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Macro indicators (VIX, yield spreads)</w:t>
            </w:r>
          </w:p>
        </w:tc>
        <w:tc>
          <w:p>
            <w:pPr>
              <w:pStyle w:val="Compact"/>
              <w:jc w:val="left"/>
            </w:pPr>
            <w:r>
              <w:t xml:space="preserve">Regime context features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Portfolio positions + P&amp;L</w:t>
            </w:r>
          </w:p>
        </w:tc>
        <w:tc>
          <w:p>
            <w:pPr>
              <w:pStyle w:val="Compact"/>
              <w:jc w:val="left"/>
            </w:pPr>
            <w:r>
              <w:t xml:space="preserve">Reward computation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Execution logs (slippage, fill rates)</w:t>
            </w:r>
          </w:p>
        </w:tc>
        <w:tc>
          <w:p>
            <w:pPr>
              <w:pStyle w:val="Compact"/>
              <w:jc w:val="left"/>
            </w:pPr>
            <w:r>
              <w:t xml:space="preserve">Cost-aware reward shaping</w:t>
            </w:r>
          </w:p>
        </w:tc>
      </w:tr>
    </w:tbl>
    <w:p>
      <w:pPr>
        <w:pStyle w:val="BodyText"/>
      </w:pPr>
      <w:r>
        <w:t xml:space="preserve">Ensuring relevance: stratified sampling across bull, bear, and sideways regimes prevents the agent from learning policies that only generalise to one market condition.</w:t>
      </w:r>
    </w:p>
    <w:p>
      <w:r>
        <w:pict>
          <v:rect style="width:0;height:1.5pt" o:hralign="center" o:hrstd="t" o:hr="t"/>
        </w:pict>
      </w:r>
    </w:p>
    <w:bookmarkEnd w:id="21"/>
    <w:bookmarkStart w:id="22" w:name="limitations-and-trade-offs"/>
    <w:p>
      <w:pPr>
        <w:pStyle w:val="Heading2"/>
      </w:pPr>
      <w:r>
        <w:t xml:space="preserve">3. Limitations and Trade-offs</w:t>
      </w:r>
    </w:p>
    <w:p>
      <w:pPr>
        <w:pStyle w:val="FirstParagraph"/>
      </w:pPr>
      <w:r>
        <w:rPr>
          <w:bCs/>
          <w:b/>
        </w:rPr>
        <w:t xml:space="preserve">Model-free limitations:</w:t>
      </w:r>
      <w:r>
        <w:t xml:space="preserve"> </w:t>
      </w:r>
      <w:r>
        <w:t xml:space="preserve">- Extreme sample inefficiency — financial episodes are non-i.i.d. and serially correlated</w:t>
      </w:r>
      <w:r>
        <w:t xml:space="preserve"> </w:t>
      </w:r>
      <w:r>
        <w:t xml:space="preserve">- Unstable training under regime shifts; reward variance is high</w:t>
      </w:r>
      <w:r>
        <w:t xml:space="preserve"> </w:t>
      </w:r>
      <w:r>
        <w:t xml:space="preserve">- No safety guarantees during exploration phases</w:t>
      </w:r>
    </w:p>
    <w:p>
      <w:pPr>
        <w:pStyle w:val="BodyText"/>
      </w:pPr>
      <w:r>
        <w:rPr>
          <w:bCs/>
          <w:b/>
        </w:rPr>
        <w:t xml:space="preserve">Model-based limitations:</w:t>
      </w:r>
      <w:r>
        <w:t xml:space="preserve"> </w:t>
      </w:r>
      <w:r>
        <w:t xml:space="preserve">- Model misspecification risk: a world model trained on 2010–2020 data will underestimate tail risks during COVID-style dislocations</w:t>
      </w:r>
      <w:r>
        <w:t xml:space="preserve"> </w:t>
      </w:r>
      <w:r>
        <w:t xml:space="preserve">- Engineering overhead: maintaining a calibrated market simulator is non-trivial</w:t>
      </w:r>
      <w:r>
        <w:t xml:space="preserve"> </w:t>
      </w:r>
      <w:r>
        <w:t xml:space="preserve">- Compounding errors in multi-step rollouts reduce planning reliability at long horizons</w:t>
      </w:r>
    </w:p>
    <w:p>
      <w:r>
        <w:pict>
          <v:rect style="width:0;height:1.5pt" o:hralign="center" o:hrstd="t" o:hr="t"/>
        </w:pict>
      </w:r>
    </w:p>
    <w:bookmarkEnd w:id="22"/>
    <w:bookmarkStart w:id="23" w:name="optimisation-strategies"/>
    <w:p>
      <w:pPr>
        <w:pStyle w:val="Heading2"/>
      </w:pPr>
      <w:r>
        <w:t xml:space="preserve">4. Optimisation Strategies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Reward shaping:</w:t>
      </w:r>
      <w:r>
        <w:t xml:space="preserve"> </w:t>
      </w:r>
      <w:r>
        <w:t xml:space="preserve">Penalise turnover and drawdown alongside raw returns; prevents the agent from chasing volatile signals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Experience replay with prioritised sampling:</w:t>
      </w:r>
      <w:r>
        <w:t xml:space="preserve"> </w:t>
      </w:r>
      <w:r>
        <w:t xml:space="preserve">Oversample rare high-volatility episodes to improve tail-risk policies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Discount factor γ:</w:t>
      </w:r>
      <w:r>
        <w:t xml:space="preserve"> </w:t>
      </w:r>
      <w:r>
        <w:t xml:space="preserve">Set near 0.99 to capture long-horizon compound returns; too low collapses the agent to myopic day-trading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Hyperparameter tuning:</w:t>
      </w:r>
      <w:r>
        <w:t xml:space="preserve"> </w:t>
      </w:r>
      <w:r>
        <w:t xml:space="preserve">Use Bayesian optimisation (directly applying BBO capstone principles) over learning rate, entropy coefficient, and reward scaling — treating validation Sharpe ratio as the black-box objective</w:t>
      </w:r>
    </w:p>
    <w:p>
      <w:r>
        <w:pict>
          <v:rect style="width:0;height:1.5pt" o:hralign="center" o:hrstd="t" o:hr="t"/>
        </w:pict>
      </w:r>
    </w:p>
    <w:bookmarkEnd w:id="23"/>
    <w:bookmarkStart w:id="24" w:name="deployment-and-monitoring"/>
    <w:p>
      <w:pPr>
        <w:pStyle w:val="Heading2"/>
      </w:pPr>
      <w:r>
        <w:t xml:space="preserve">5. Deployment and Monitoring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Drift detection:</w:t>
      </w:r>
      <w:r>
        <w:t xml:space="preserve"> </w:t>
      </w:r>
      <w:r>
        <w:t xml:space="preserve">Monitor KL-divergence between live state distributions and training distributions; flag when feature correlations shift beyond thresholds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Shadow deployment:</w:t>
      </w:r>
      <w:r>
        <w:t xml:space="preserve"> </w:t>
      </w:r>
      <w:r>
        <w:t xml:space="preserve">Run the RL agent in paper-trading mode alongside the production strategy before capital allocation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Periodic retraining:</w:t>
      </w:r>
      <w:r>
        <w:t xml:space="preserve"> </w:t>
      </w:r>
      <w:r>
        <w:t xml:space="preserve">Rolling 12-month fine-tuning windows to absorb new regime data without catastrophic forgetting (using EWC regularisation)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Circuit breakers:</w:t>
      </w:r>
      <w:r>
        <w:t xml:space="preserve"> </w:t>
      </w:r>
      <w:r>
        <w:t xml:space="preserve">Hard position limits and drawdown thresholds override RL decisions — a safety layer that model-free agents cannot self-enforce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~480 words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2026-03-15T07:40:01Z</dcterms:created>
  <dcterms:modified xsi:type="dcterms:W3CDTF">2026-03-15T07:40:01Z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