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Self-study Discussion 17.2: Exploring CNN Applications Beyond Images</w:t>
      </w:r>
    </w:p>
    <w:p>
      <w:pPr>
        <w:pStyle w:val="Heading1"/>
      </w:pPr>
      <w:r>
        <w:t>1. Identification: Grid-Like Signals from My Work</w:t>
      </w:r>
    </w:p>
    <w:p>
      <w:pPr>
        <w:pStyle w:val="Heading2"/>
      </w:pPr>
      <w:r>
        <w:t>a) API Response Time Heatmaps (2D: endpoints × time buckets)</w:t>
      </w:r>
    </w:p>
    <w:p>
      <w:r>
        <w:t>At HubSpot and Meta, backend services generate millions of API calls daily. Aggregating response latencies into a 2D grid (rows = API endpoints, columns = 5-minute time windows) creates a "performance heatmap" where patterns emerge—hotspots indicate degradation, diagonal streaks suggest cascading failures.</w:t>
      </w:r>
    </w:p>
    <w:p>
      <w:pPr>
        <w:pStyle w:val="Heading2"/>
      </w:pPr>
      <w:r>
        <w:t>b) User Session Clickstreams (2D: page-sequence × session-time)</w:t>
      </w:r>
    </w:p>
    <w:p>
      <w:r>
        <w:t>Mobile app analytics can be restructured as grids where rows represent screen transitions and columns represent time-in-session. This transforms sequential behavior into spatial patterns amenable to convolution.</w:t>
      </w:r>
    </w:p>
    <w:p>
      <w:pPr>
        <w:pStyle w:val="Heading2"/>
      </w:pPr>
      <w:r>
        <w:t>c) Code Change Heatmaps (2D: file-paths × commits-over-time)</w:t>
      </w:r>
    </w:p>
    <w:p>
      <w:r>
        <w:t>Version control data can be visualized as a grid showing which files change together across commits. Clusters reveal architectural coupling; isolated hotspots may indicate technical debt.</w:t>
      </w:r>
    </w:p>
    <w:p>
      <w:pPr>
        <w:pStyle w:val="Heading1"/>
      </w:pPr>
      <w:r>
        <w:t>2. Application: CNN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CNN 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Business Value</w:t>
            </w:r>
          </w:p>
        </w:tc>
      </w:tr>
      <w:tr>
        <w:tc>
          <w:tcPr>
            <w:tcW w:type="dxa" w:w="2880"/>
          </w:tcPr>
          <w:p>
            <w:r>
              <w:t>API Latency Heatmaps</w:t>
            </w:r>
          </w:p>
        </w:tc>
        <w:tc>
          <w:tcPr>
            <w:tcW w:type="dxa" w:w="2880"/>
          </w:tcPr>
          <w:p>
            <w:r>
              <w:t>Anomaly detection &amp; root-cause classification</w:t>
            </w:r>
          </w:p>
        </w:tc>
        <w:tc>
          <w:tcPr>
            <w:tcW w:type="dxa" w:w="2880"/>
          </w:tcPr>
          <w:p>
            <w:r>
              <w:t>Predict outages before they cascade; reduce MTTR</w:t>
            </w:r>
          </w:p>
        </w:tc>
      </w:tr>
      <w:tr>
        <w:tc>
          <w:tcPr>
            <w:tcW w:type="dxa" w:w="2880"/>
          </w:tcPr>
          <w:p>
            <w:r>
              <w:t>Clickstream Grids</w:t>
            </w:r>
          </w:p>
        </w:tc>
        <w:tc>
          <w:tcPr>
            <w:tcW w:type="dxa" w:w="2880"/>
          </w:tcPr>
          <w:p>
            <w:r>
              <w:t>User behavior classification (engaged vs churning)</w:t>
            </w:r>
          </w:p>
        </w:tc>
        <w:tc>
          <w:tcPr>
            <w:tcW w:type="dxa" w:w="2880"/>
          </w:tcPr>
          <w:p>
            <w:r>
              <w:t>Personalize UX interventions in real-time</w:t>
            </w:r>
          </w:p>
        </w:tc>
      </w:tr>
      <w:tr>
        <w:tc>
          <w:tcPr>
            <w:tcW w:type="dxa" w:w="2880"/>
          </w:tcPr>
          <w:p>
            <w:r>
              <w:t>Code Change Heatmaps</w:t>
            </w:r>
          </w:p>
        </w:tc>
        <w:tc>
          <w:tcPr>
            <w:tcW w:type="dxa" w:w="2880"/>
          </w:tcPr>
          <w:p>
            <w:r>
              <w:t>Technical debt detection &amp; refactoring prioritization</w:t>
            </w:r>
          </w:p>
        </w:tc>
        <w:tc>
          <w:tcPr>
            <w:tcW w:type="dxa" w:w="2880"/>
          </w:tcPr>
          <w:p>
            <w:r>
              <w:t>Reduce maintenance costs; improve code health</w:t>
            </w:r>
          </w:p>
        </w:tc>
      </w:tr>
    </w:tbl>
    <w:p/>
    <w:p>
      <w:pPr>
        <w:pStyle w:val="Heading1"/>
      </w:pPr>
      <w:r>
        <w:t>3. Feasibility Assessment</w:t>
      </w:r>
    </w:p>
    <w:p>
      <w:r>
        <w:rPr>
          <w:b/>
        </w:rPr>
        <w:t>Highly Practical:</w:t>
      </w:r>
    </w:p>
    <w:p>
      <w:pPr>
        <w:pStyle w:val="ListBullet"/>
      </w:pPr>
      <w:r>
        <w:t>API Latency Heatmaps: Data already exists in observability tools (Datadog, Grafana). Labels can be derived from incident tickets. CNNs excel at detecting spatial anomalies—a "hot streak" across endpoints is visually distinct.</w:t>
      </w:r>
    </w:p>
    <w:p>
      <w:r>
        <w:rPr>
          <w:b/>
        </w:rPr>
        <w:t>Moderately Practical:</w:t>
      </w:r>
    </w:p>
    <w:p>
      <w:pPr>
        <w:pStyle w:val="ListBullet"/>
      </w:pPr>
      <w:r>
        <w:t>Clickstream Grids: Feasible with proper preprocessing, but labeling "churn intent" requires careful definition. Privacy regulations (GDPR) may constrain data retention.</w:t>
      </w:r>
    </w:p>
    <w:p>
      <w:r>
        <w:rPr>
          <w:b/>
        </w:rPr>
        <w:t>More Challenging:</w:t>
      </w:r>
    </w:p>
    <w:p>
      <w:pPr>
        <w:pStyle w:val="ListBullet"/>
      </w:pPr>
      <w:r>
        <w:t>Code Change Heatmaps: Requires significant feature engineering to normalize across repos. Interpretability is crucial—engineers need to understand why a region is flagged as debt, not just that it is.</w:t>
      </w:r>
    </w:p>
    <w:p>
      <w:pPr>
        <w:pStyle w:val="Heading1"/>
      </w:pPr>
      <w:r>
        <w:t>4. Innovation: Business Opportunities</w:t>
      </w:r>
    </w:p>
    <w:p>
      <w:r>
        <w:t>Discovering grid-like structure in operational data unlocks CNN capabilities in domains traditionally dominated by rule-based systems:</w:t>
      </w:r>
    </w:p>
    <w:p>
      <w:pPr>
        <w:pStyle w:val="ListBullet"/>
      </w:pPr>
      <w:r>
        <w:t>Predictive SRE: Converting metrics into "incident images" enables transfer learning from computer vision—pre-trained CNNs can bootstrap anomaly detection with minimal labeled data.</w:t>
      </w:r>
    </w:p>
    <w:p>
      <w:pPr>
        <w:pStyle w:val="ListBullet"/>
      </w:pPr>
      <w:r>
        <w:t>Product Analytics: Treating user journeys as spatial patterns (rather than sequential logs) reveals macro-level behavior clusters invisible to funnel analysis.</w:t>
      </w:r>
    </w:p>
    <w:p>
      <w:pPr>
        <w:pStyle w:val="ListBullet"/>
      </w:pPr>
      <w:r>
        <w:t>Engineering Intelligence: Code-change grids could power "architectural health scores" that predict bug density or review bottlenecks before they manifest.</w:t>
      </w:r>
    </w:p>
    <w:p/>
    <w:p>
      <w:r>
        <w:t>The key insight: any tabular or sequential data with natural neighborhood relationships can be reshaped into a grid. Once it's a grid, decades of CNN architecture innovation become applicable—attention mechanisms, residual connections, transfer learning—opening business value in unexpected domains.</w:t>
      </w:r>
    </w:p>
    <w:p/>
    <w:p>
      <w:r>
        <w:rPr>
          <w:i/>
        </w:rPr>
        <w:t>Word count: 432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