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Self-study Discussion 19.2: Analysing the Implications of Model Sizes</w:t>
      </w:r>
    </w:p>
    <w:p/>
    <w:p>
      <w:pPr>
        <w:pStyle w:val="Heading1"/>
      </w:pPr>
      <w:r>
        <w:t>When model size increases, how do costs and energy requirements change?</w:t>
      </w:r>
    </w:p>
    <w:p>
      <w:r>
        <w:t>Costs and energy scale super-linearly with model size. This manifests across two phases:</w:t>
      </w:r>
    </w:p>
    <w:p>
      <w:r>
        <w:rPr>
          <w:b/>
        </w:rPr>
        <w:t xml:space="preserve">Training costs: </w:t>
      </w:r>
      <w:r>
        <w:t>Doubling parameters requires more than double the compute due to the quadratic attention complexity in transformers. GPT-3 (175B parameters) cost an estimated $4-12 million to train; GPT-4's training likely exceeded $100 million. Hardware requirements shift from consumer GPUs to clusters of thousands of specialised accelerators.</w:t>
      </w:r>
    </w:p>
    <w:p>
      <w:r>
        <w:rPr>
          <w:b/>
        </w:rPr>
        <w:t xml:space="preserve">Inference costs: </w:t>
      </w:r>
      <w:r>
        <w:t>Every user query activates all parameters. For a 175B model, this means ~700GB of weights must be loaded and processed per request. Energy consumption compounds with usage—millions of daily queries translate to substantial electricity demand.</w:t>
      </w:r>
    </w:p>
    <w:p>
      <w:r>
        <w:rPr>
          <w:b/>
        </w:rPr>
        <w:t xml:space="preserve">Environmental impact: </w:t>
      </w:r>
      <w:r>
        <w:t>Training a single large model can emit carbon equivalent to five cars' lifetime emissions. As AI becomes embedded in everyday products, inference energy at scale may dwarf training costs.</w:t>
      </w:r>
    </w:p>
    <w:p>
      <w:r>
        <w:t>However, architectural innovations challenge this trajectory. Mixture-of-Experts (MoE) models like DeepSeek activate only a fraction of parameters per query, achieving frontier performance at dramatically lower cost—demonstrating that scale and efficiency need not be mutually exclusive.</w:t>
      </w:r>
    </w:p>
    <w:p>
      <w:pPr>
        <w:pStyle w:val="Heading1"/>
      </w:pPr>
      <w:r>
        <w:t>What does greater scale mean for who can access and use advanced AI?</w:t>
      </w:r>
    </w:p>
    <w:p>
      <w:r>
        <w:t>Greater scale historically concentrates power among well-resourced organisations. Only hyperscalers (OpenAI, Google, Anthropic) can afford billion-dollar training runs, creating a two-tier system: producers who control frontier models and consumers who access them through rate-limited APIs.</w:t>
      </w:r>
    </w:p>
    <w:p>
      <w:r>
        <w:t>This has geopolitical implications—AI capability becomes tied to capital access, potentially widening global inequality.</w:t>
      </w:r>
    </w:p>
    <w:p>
      <w:r>
        <w:t>Yet efficient open-source models (DeepSeek, Llama, Mistral) are democratising access. By prioritising optimisation over raw scale, they enable:</w:t>
      </w:r>
    </w:p>
    <w:p>
      <w:pPr>
        <w:pStyle w:val="ListBullet"/>
      </w:pPr>
      <w:r>
        <w:t>Local deployment on modest hardware</w:t>
      </w:r>
    </w:p>
    <w:p>
      <w:pPr>
        <w:pStyle w:val="ListBullet"/>
      </w:pPr>
      <w:r>
        <w:t>Fine-tuning by startups and researchers</w:t>
      </w:r>
    </w:p>
    <w:p>
      <w:pPr>
        <w:pStyle w:val="ListBullet"/>
      </w:pPr>
      <w:r>
        <w:t>Reduced dependence on proprietary APIs</w:t>
      </w:r>
    </w:p>
    <w:p>
      <w:r>
        <w:t>The future may favour efficiency over size—making powerful AI a shared resource rather than a luxury.</w:t>
      </w:r>
    </w:p>
    <w:p/>
    <w:p>
      <w:r>
        <w:rPr>
          <w:i/>
        </w:rPr>
        <w:t>Word count: 298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