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quired-capstone-component-17.1-week-6"/>
    <w:p>
      <w:pPr>
        <w:pStyle w:val="Heading1"/>
      </w:pPr>
      <w:r>
        <w:t xml:space="preserve">Required Capstone Component 17.1 — Week 6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17 — Convolutional Neural Networks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27/02/2026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Moderate exploration (κ=3.0)</w:t>
            </w:r>
          </w:p>
        </w:tc>
        <w:tc>
          <w:p>
            <w:pPr>
              <w:pStyle w:val="Compact"/>
              <w:jc w:val="left"/>
            </w:pPr>
            <w:r>
              <w:t xml:space="preserve">0.850891-0.775648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(κ=1.0)</w:t>
            </w:r>
          </w:p>
        </w:tc>
        <w:tc>
          <w:p>
            <w:pPr>
              <w:pStyle w:val="Compact"/>
              <w:jc w:val="left"/>
            </w:pPr>
            <w:r>
              <w:t xml:space="preserve">0.772368-0.913563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(κ=1.0)</w:t>
            </w:r>
          </w:p>
        </w:tc>
        <w:tc>
          <w:p>
            <w:pPr>
              <w:pStyle w:val="Compact"/>
              <w:jc w:val="left"/>
            </w:pPr>
            <w:r>
              <w:t xml:space="preserve">0.241048-0.271591-0.443703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(κ=0.8)</w:t>
            </w:r>
          </w:p>
        </w:tc>
        <w:tc>
          <w:p>
            <w:pPr>
              <w:pStyle w:val="Compact"/>
              <w:jc w:val="left"/>
            </w:pPr>
            <w:r>
              <w:t xml:space="preserve">0.532765-0.420960-0.437436-0.247826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exploit (κ=0.2, r=0.03)</w:t>
            </w:r>
          </w:p>
        </w:tc>
        <w:tc>
          <w:p>
            <w:pPr>
              <w:pStyle w:val="Compact"/>
              <w:jc w:val="left"/>
            </w:pPr>
            <w:r>
              <w:t xml:space="preserve">0.987377-0.995102-0.979863-0.958435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Balanced-explore (κ=1.2)</w:t>
            </w:r>
          </w:p>
        </w:tc>
        <w:tc>
          <w:p>
            <w:pPr>
              <w:pStyle w:val="Compact"/>
              <w:jc w:val="left"/>
            </w:pPr>
            <w:r>
              <w:t xml:space="preserve">0.689558-0.184451-0.747158-0.657878-0.026114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(κ=3.0)</w:t>
            </w:r>
          </w:p>
        </w:tc>
        <w:tc>
          <w:p>
            <w:pPr>
              <w:pStyle w:val="Compact"/>
              <w:jc w:val="left"/>
            </w:pPr>
            <w:r>
              <w:t xml:space="preserve">0.080962-0.503343-0.326421-0.223510-0.415342-0.715003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Trust-region exploit (κ=0.2, r=0.08)</w:t>
            </w:r>
          </w:p>
        </w:tc>
        <w:tc>
          <w:p>
            <w:pPr>
              <w:pStyle w:val="Compact"/>
              <w:jc w:val="left"/>
            </w:pPr>
            <w:r>
              <w:t xml:space="preserve">0.082656-0.155191-0.047568-0.087396-0.337200-0.762400-0.474602-0.919581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342169bda5e65ff837967d94ae5d0eacee08aeb"/>
    <w:p>
      <w:pPr>
        <w:pStyle w:val="Heading2"/>
      </w:pPr>
      <w:r>
        <w:t xml:space="preserve">Part 2: Reflection on Strategy — Sixth Iteration (15 Data Points)</w:t>
      </w:r>
    </w:p>
    <w:p>
      <w:r>
        <w:pict>
          <v:rect style="width:0;height:1.5pt" o:hralign="center" o:hrstd="t" o:hr="t"/>
        </w:pict>
      </w:r>
    </w:p>
    <w:bookmarkStart w:id="22" w:name="X520a8637f2f104b7ddff01f117a16a9cabb598d"/>
    <w:p>
      <w:pPr>
        <w:pStyle w:val="Heading3"/>
      </w:pPr>
      <w:r>
        <w:t xml:space="preserve">1. Progressive Feature Extraction and BBO Strategy Refinement</w:t>
      </w:r>
    </w:p>
    <w:p>
      <w:pPr>
        <w:pStyle w:val="FirstParagraph"/>
      </w:pPr>
      <w:r>
        <w:t xml:space="preserve">CNNs construct understanding hierarchically: early layers detect edges, intermediate layers combine these into textures, and deep layers recognize semantic objects. This architecture directly shaped how I conceptualized my BBO strategy across iterations:</w:t>
      </w:r>
    </w:p>
    <w:p>
      <w:pPr>
        <w:pStyle w:val="BodyText"/>
      </w:pPr>
      <w:r>
        <w:rPr>
          <w:bCs/>
          <w:b/>
        </w:rPr>
        <w:t xml:space="preserve">Week 1–2 (Edge detection):</w:t>
      </w:r>
      <w:r>
        <w:t xml:space="preserve"> </w:t>
      </w:r>
      <w:r>
        <w:t xml:space="preserve">Broad exploration to identify coarse structure—which regions showed any signal, which dimensions seemed influential. Like a first convolutional layer, queries captured basic</w:t>
      </w:r>
      <w:r>
        <w:t xml:space="preserve"> </w:t>
      </w:r>
      <w:r>
        <w:t xml:space="preserve">“</w:t>
      </w:r>
      <w:r>
        <w:t xml:space="preserve">gradients</w:t>
      </w:r>
      <w:r>
        <w:t xml:space="preserve">”</w:t>
      </w:r>
      <w:r>
        <w:t xml:space="preserve"> </w:t>
      </w:r>
      <w:r>
        <w:t xml:space="preserve">in the function landscape.</w:t>
      </w:r>
    </w:p>
    <w:p>
      <w:pPr>
        <w:pStyle w:val="BodyText"/>
      </w:pPr>
      <w:r>
        <w:rPr>
          <w:bCs/>
          <w:b/>
        </w:rPr>
        <w:t xml:space="preserve">Week 3–4 (Texture building):</w:t>
      </w:r>
      <w:r>
        <w:t xml:space="preserve"> </w:t>
      </w:r>
      <w:r>
        <w:t xml:space="preserve">As observations accumulated, I began recognizing patterns—F5 and F8 exhibited steep ridges in specific dimensions, while F3 and F6 remained flat. My SVM classification approach emerged here, analogous to mid-layer feature combination: grouping observations into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bad</w:t>
      </w:r>
      <w:r>
        <w:t xml:space="preserve">”</w:t>
      </w:r>
      <w:r>
        <w:t xml:space="preserve"> </w:t>
      </w:r>
      <w:r>
        <w:t xml:space="preserve">regions before refining further.</w:t>
      </w:r>
    </w:p>
    <w:p>
      <w:pPr>
        <w:pStyle w:val="BodyText"/>
      </w:pPr>
      <w:r>
        <w:rPr>
          <w:bCs/>
          <w:b/>
        </w:rPr>
        <w:t xml:space="preserve">Week 5–6 (Object recognition):</w:t>
      </w:r>
      <w:r>
        <w:t xml:space="preserve"> </w:t>
      </w:r>
      <w:r>
        <w:t xml:space="preserve">With 15 data points, the surrogate model now captures global structure. For high-performing functions, I apply gradient ascent on neural network surrogates—exploiting the learned</w:t>
      </w:r>
      <w:r>
        <w:t xml:space="preserve"> </w:t>
      </w:r>
      <w:r>
        <w:t xml:space="preserve">“</w:t>
      </w:r>
      <w:r>
        <w:t xml:space="preserve">object-level</w:t>
      </w:r>
      <w:r>
        <w:t xml:space="preserve">”</w:t>
      </w:r>
      <w:r>
        <w:t xml:space="preserve"> </w:t>
      </w:r>
      <w:r>
        <w:t xml:space="preserve">understanding to navigate toward optima with precision rather than guesswork.</w:t>
      </w:r>
    </w:p>
    <w:p>
      <w:pPr>
        <w:pStyle w:val="BodyText"/>
      </w:pPr>
      <w:r>
        <w:t xml:space="preserve">This layered progression prevented me from over-exploiting prematurely (before structure was understood) and ensured exploration served a purpose (building progressively richer representations).</w:t>
      </w:r>
    </w:p>
    <w:p>
      <w:r>
        <w:pict>
          <v:rect style="width:0;height:1.5pt" o:hralign="center" o:hrstd="t" o:hr="t"/>
        </w:pict>
      </w:r>
    </w:p>
    <w:bookmarkEnd w:id="22"/>
    <w:bookmarkStart w:id="23" w:name="Xd33160d49e3de956399f4f3129239241743e2e8"/>
    <w:p>
      <w:pPr>
        <w:pStyle w:val="Heading3"/>
      </w:pPr>
      <w:r>
        <w:t xml:space="preserve">2. Parallels Between CNN Breakthroughs and Incremental BBO Improvements</w:t>
      </w:r>
    </w:p>
    <w:p>
      <w:pPr>
        <w:pStyle w:val="FirstParagraph"/>
      </w:pPr>
      <w:r>
        <w:t xml:space="preserve">LeNet’s success came not from a single innovation but from convergent improvements: better activations (ReLU), regularisation (dropout), and computational scale. My BBO progress mirrors this pattern: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249"/>
        <w:gridCol w:w="4670"/>
      </w:tblGrid>
      <w:tr>
        <w:tc>
          <w:p>
            <w:pPr>
              <w:pStyle w:val="Compact"/>
              <w:jc w:val="left"/>
            </w:pPr>
            <w:r>
              <w:t xml:space="preserve">CNN Innovation</w:t>
            </w:r>
          </w:p>
        </w:tc>
        <w:tc>
          <w:p>
            <w:pPr>
              <w:pStyle w:val="Compact"/>
              <w:jc w:val="left"/>
            </w:pPr>
            <w:r>
              <w:t xml:space="preserve">BBO Strategy Parallel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Deeper architectures</w:t>
            </w:r>
          </w:p>
        </w:tc>
        <w:tc>
          <w:p>
            <w:pPr>
              <w:pStyle w:val="Compact"/>
              <w:jc w:val="left"/>
            </w:pPr>
            <w:r>
              <w:t xml:space="preserve">Evolving from random sampling → GP-UCB → SVM classification → neural surrogates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 regularisation</w:t>
            </w:r>
          </w:p>
        </w:tc>
        <w:tc>
          <w:p>
            <w:pPr>
              <w:pStyle w:val="Compact"/>
              <w:jc w:val="left"/>
            </w:pPr>
            <w:r>
              <w:t xml:space="preserve">Maintaining exploration guards to prevent</w:t>
            </w:r>
            <w:r>
              <w:t xml:space="preserve"> </w:t>
            </w:r>
            <w:r>
              <w:t xml:space="preserve">“</w:t>
            </w:r>
            <w:r>
              <w:t xml:space="preserve">overfitting</w:t>
            </w:r>
            <w:r>
              <w:t xml:space="preserve">”</w:t>
            </w:r>
            <w:r>
              <w:t xml:space="preserve"> </w:t>
            </w:r>
            <w:r>
              <w:t xml:space="preserve">to local optima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 learning</w:t>
            </w:r>
          </w:p>
        </w:tc>
        <w:tc>
          <w:p>
            <w:pPr>
              <w:pStyle w:val="Compact"/>
              <w:jc w:val="left"/>
            </w:pPr>
            <w:r>
              <w:t xml:space="preserve">Carrying learned dimensional influences (e.g., F8’s X₁, X₃ dominance) across iterations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normalisation</w:t>
            </w:r>
          </w:p>
        </w:tc>
        <w:tc>
          <w:p>
            <w:pPr>
              <w:pStyle w:val="Compact"/>
              <w:jc w:val="left"/>
            </w:pPr>
            <w:r>
              <w:t xml:space="preserve">Standardising observations before surrogate training</w:t>
            </w:r>
          </w:p>
        </w:tc>
      </w:tr>
    </w:tbl>
    <w:p>
      <w:pPr>
        <w:pStyle w:val="BodyText"/>
      </w:pPr>
      <w:r>
        <w:t xml:space="preserve">No single weekly submission produced dramatic jumps. Instead, compounding refinements—smarter acquisition functions, dimension-aware search, gradient-guided exploitation—mirror how deep learning advances accumulate into capability step-changes.</w:t>
      </w:r>
    </w:p>
    <w:p>
      <w:r>
        <w:pict>
          <v:rect style="width:0;height:1.5pt" o:hralign="center" o:hrstd="t" o:hr="t"/>
        </w:pict>
      </w:r>
    </w:p>
    <w:bookmarkEnd w:id="23"/>
    <w:bookmarkStart w:id="24" w:name="X2e68b6a15d61d4697550ec942159b1f3592e75a"/>
    <w:p>
      <w:pPr>
        <w:pStyle w:val="Heading3"/>
      </w:pPr>
      <w:r>
        <w:t xml:space="preserve">3. Balancing Depth, Cost, and Overfitting vs. Explore/Exploit</w:t>
      </w:r>
    </w:p>
    <w:p>
      <w:pPr>
        <w:pStyle w:val="FirstParagraph"/>
      </w:pPr>
      <w:r>
        <w:t xml:space="preserve">Training deep CNNs requires trading model capacity against overfitting risk and computational cost. I faced an identical tension:</w:t>
      </w:r>
    </w:p>
    <w:p>
      <w:pPr>
        <w:pStyle w:val="BodyText"/>
      </w:pPr>
      <w:r>
        <w:rPr>
          <w:bCs/>
          <w:b/>
        </w:rPr>
        <w:t xml:space="preserve">Exploitation (deep, focused):</w:t>
      </w:r>
      <w:r>
        <w:t xml:space="preserve"> </w:t>
      </w:r>
      <w:r>
        <w:t xml:space="preserve">- Refines known promising regions efficiently</w:t>
      </w:r>
      <w:r>
        <w:t xml:space="preserve"> </w:t>
      </w:r>
      <w:r>
        <w:t xml:space="preserve">- Risk: premature convergence to local optima</w:t>
      </w:r>
      <w:r>
        <w:t xml:space="preserve"> </w:t>
      </w:r>
      <w:r>
        <w:t xml:space="preserve">- Applied to: F5 (4D), F8 (8D) where surrogate confidence is high</w:t>
      </w:r>
    </w:p>
    <w:p>
      <w:pPr>
        <w:pStyle w:val="BodyText"/>
      </w:pPr>
      <w:r>
        <w:rPr>
          <w:bCs/>
          <w:b/>
        </w:rPr>
        <w:t xml:space="preserve">Exploration (shallow, broad):</w:t>
      </w:r>
      <w:r>
        <w:t xml:space="preserve"> </w:t>
      </w:r>
      <w:r>
        <w:t xml:space="preserve">- Maintains coverage against unknown modes</w:t>
      </w:r>
      <w:r>
        <w:t xml:space="preserve"> </w:t>
      </w:r>
      <w:r>
        <w:t xml:space="preserve">- Cost: expensive in limited query budget</w:t>
      </w:r>
      <w:r>
        <w:t xml:space="preserve"> </w:t>
      </w:r>
      <w:r>
        <w:t xml:space="preserve">- Applied to: F1, F7 where signals remain weak or inconsistent</w:t>
      </w:r>
    </w:p>
    <w:p>
      <w:pPr>
        <w:pStyle w:val="BodyText"/>
      </w:pPr>
      <w:r>
        <w:t xml:space="preserve">With only 15 observations per function, overfitting the surrogate model to noise is a real danger—analogous to training a deep CNN on insufficient data. My response: simpler GP kernels for low-dimensional functions, MLP ensembles (5 networks, variance as uncertainty proxy) for high-dimensional ones. The SVM classification layer acts as regularisation—preventing queries from chasing noisy outliers by requiring region-level consistency before exploitation.</w:t>
      </w:r>
    </w:p>
    <w:p>
      <w:r>
        <w:pict>
          <v:rect style="width:0;height:1.5pt" o:hralign="center" o:hrstd="t" o:hr="t"/>
        </w:pict>
      </w:r>
    </w:p>
    <w:bookmarkEnd w:id="24"/>
    <w:bookmarkStart w:id="25" w:name="Xe178735359bc9c9254c3ce57bb21764195d9a41"/>
    <w:p>
      <w:pPr>
        <w:pStyle w:val="Heading3"/>
      </w:pPr>
      <w:r>
        <w:t xml:space="preserve">4. CNN Building Blocks and Optimisation Learning</w:t>
      </w:r>
    </w:p>
    <w:p>
      <w:pPr>
        <w:pStyle w:val="FirstParagraph"/>
      </w:pPr>
      <w:r>
        <w:t xml:space="preserve">Several CNN concepts transformed how I interpret surrogate learning:</w:t>
      </w:r>
    </w:p>
    <w:p>
      <w:pPr>
        <w:pStyle w:val="BodyText"/>
      </w:pPr>
      <w:r>
        <w:rPr>
          <w:bCs/>
          <w:b/>
        </w:rPr>
        <w:t xml:space="preserve">Convolutions → Local Receptive Fields:</w:t>
      </w:r>
      <w:r>
        <w:t xml:space="preserve"> </w:t>
      </w:r>
      <w:r>
        <w:t xml:space="preserve">Just as convolution kernels detect local patterns, my surrogate’s GP length-scales control how</w:t>
      </w:r>
      <w:r>
        <w:t xml:space="preserve"> </w:t>
      </w:r>
      <w:r>
        <w:t xml:space="preserve">“</w:t>
      </w:r>
      <w:r>
        <w:t xml:space="preserve">local</w:t>
      </w:r>
      <w:r>
        <w:t xml:space="preserve">”</w:t>
      </w:r>
      <w:r>
        <w:t xml:space="preserve"> </w:t>
      </w:r>
      <w:r>
        <w:t xml:space="preserve">the learned structure is. Short length-scales capture fine detail but risk noise sensitivity; longer scales smooth but may miss sharp optima.</w:t>
      </w:r>
    </w:p>
    <w:p>
      <w:pPr>
        <w:pStyle w:val="BodyText"/>
      </w:pPr>
      <w:r>
        <w:rPr>
          <w:bCs/>
          <w:b/>
        </w:rPr>
        <w:t xml:space="preserve">Gradients → Query Direction:</w:t>
      </w:r>
      <w:r>
        <w:t xml:space="preserve"> </w:t>
      </w:r>
      <w:r>
        <w:t xml:space="preserve">Although black-box, I now compute ∇ₓf_NN(x) through my neural surrogate via backpropagation. This provides directional guidance—where to step next—analogous to how CNN gradients guide weight updates during training.</w:t>
      </w:r>
    </w:p>
    <w:p>
      <w:pPr>
        <w:pStyle w:val="BodyText"/>
      </w:pPr>
      <w:r>
        <w:rPr>
          <w:bCs/>
          <w:b/>
        </w:rPr>
        <w:t xml:space="preserve">Loss Functions → Acquisition Objectives:</w:t>
      </w:r>
      <w:r>
        <w:t xml:space="preserve"> </w:t>
      </w:r>
      <w:r>
        <w:t xml:space="preserve">EI (Expected Improvement) and UCB serve as my</w:t>
      </w:r>
      <w:r>
        <w:t xml:space="preserve"> </w:t>
      </w:r>
      <w:r>
        <w:t xml:space="preserve">“</w:t>
      </w:r>
      <w:r>
        <w:t xml:space="preserve">loss functions</w:t>
      </w:r>
      <w:r>
        <w:t xml:space="preserve">”</w:t>
      </w:r>
      <w:r>
        <w:t xml:space="preserve">—they encode what I value (improvement, uncertainty reduction) and guide optimisation just as cross-entropy guides CNN classification.</w:t>
      </w:r>
    </w:p>
    <w:p>
      <w:pPr>
        <w:pStyle w:val="BodyText"/>
      </w:pPr>
      <w:r>
        <w:rPr>
          <w:bCs/>
          <w:b/>
        </w:rPr>
        <w:t xml:space="preserve">Pooling → Dimension Reduction:</w:t>
      </w:r>
      <w:r>
        <w:t xml:space="preserve"> </w:t>
      </w:r>
      <w:r>
        <w:t xml:space="preserve">For F8 (8D), gradient magnitude analysis revealed only X₁ and X₃ matter significantly. I effectively</w:t>
      </w:r>
      <w:r>
        <w:t xml:space="preserve"> </w:t>
      </w:r>
      <w:r>
        <w:t xml:space="preserve">“</w:t>
      </w:r>
      <w:r>
        <w:t xml:space="preserve">pooled</w:t>
      </w:r>
      <w:r>
        <w:t xml:space="preserve">”</w:t>
      </w:r>
      <w:r>
        <w:t xml:space="preserve"> </w:t>
      </w:r>
      <w:r>
        <w:t xml:space="preserve">the other 6 dimensions, fixing them at best-known values—reducing computational complexity while preserving the essential signal.</w:t>
      </w:r>
    </w:p>
    <w:p>
      <w:r>
        <w:pict>
          <v:rect style="width:0;height:1.5pt" o:hralign="center" o:hrstd="t" o:hr="t"/>
        </w:pict>
      </w:r>
    </w:p>
    <w:bookmarkEnd w:id="25"/>
    <w:bookmarkStart w:id="26" w:name="Xb6da6aa1cfe1b21c829acc9708dddfead1df9f5"/>
    <w:p>
      <w:pPr>
        <w:pStyle w:val="Heading3"/>
      </w:pPr>
      <w:r>
        <w:t xml:space="preserve">5. Edge AI Deployment Constraints and Benchmarking Success</w:t>
      </w:r>
    </w:p>
    <w:p>
      <w:pPr>
        <w:pStyle w:val="FirstParagraph"/>
      </w:pPr>
      <w:r>
        <w:t xml:space="preserve">Andrea Dunbar’s discussion of deploying CNNs on edge devices—where latency, power, and memory constraints matter as much as accuracy—reshaped how I benchmark BBO success.</w:t>
      </w:r>
    </w:p>
    <w:p>
      <w:pPr>
        <w:pStyle w:val="BodyText"/>
      </w:pPr>
      <w:r>
        <w:rPr>
          <w:bCs/>
          <w:b/>
        </w:rPr>
        <w:t xml:space="preserve">Query budget as resource constraint:</w:t>
      </w:r>
      <w:r>
        <w:t xml:space="preserve"> </w:t>
      </w:r>
      <w:r>
        <w:t xml:space="preserve">My 15-query limit mirrors edge compute limits. A strategy that finds the global optimum with 500 queries is useless here, just as a massive CNN is impractical on a low-power device.</w:t>
      </w:r>
    </w:p>
    <w:p>
      <w:pPr>
        <w:pStyle w:val="BodyText"/>
      </w:pPr>
      <w:r>
        <w:rPr>
          <w:bCs/>
          <w:b/>
        </w:rPr>
        <w:t xml:space="preserve">Beyond peak performance: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Sample efficiency:</w:t>
      </w:r>
      <w:r>
        <w:t xml:space="preserve"> </w:t>
      </w:r>
      <w:r>
        <w:t xml:space="preserve">Information gained per query, not just final value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Robustness:</w:t>
      </w:r>
      <w:r>
        <w:t xml:space="preserve"> </w:t>
      </w:r>
      <w:r>
        <w:t xml:space="preserve">Avoiding catastrophic failures in unexplored regions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Consistency:</w:t>
      </w:r>
      <w:r>
        <w:t xml:space="preserve"> </w:t>
      </w:r>
      <w:r>
        <w:t xml:space="preserve">Steady improvement over iterations rather than lucky peaks</w:t>
      </w:r>
    </w:p>
    <w:p>
      <w:pPr>
        <w:pStyle w:val="BodyText"/>
      </w:pPr>
      <w:r>
        <w:rPr>
          <w:bCs/>
          <w:b/>
        </w:rPr>
        <w:t xml:space="preserve">New success metrics:</w:t>
      </w:r>
      <w:r>
        <w:t xml:space="preserve"> </w:t>
      </w:r>
      <w:r>
        <w:t xml:space="preserve">- Rate of uncertainty reduction in promising regions</w:t>
      </w:r>
      <w:r>
        <w:t xml:space="preserve"> </w:t>
      </w:r>
      <w:r>
        <w:t xml:space="preserve">- Surrogate prediction reliability (cross-validation error)</w:t>
      </w:r>
      <w:r>
        <w:t xml:space="preserve"> </w:t>
      </w:r>
      <w:r>
        <w:t xml:space="preserve">- Strategy adaptability across function characteristics</w:t>
      </w:r>
    </w:p>
    <w:p>
      <w:pPr>
        <w:pStyle w:val="BodyText"/>
      </w:pPr>
      <w:r>
        <w:t xml:space="preserve">This perspective means a lower maximum achieved through principled search may indicate better methodology than a high outlier from random chance—aligning with real-world deployment where reliability under constraints trumps theoretical optimality.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2026-03-15T06:07:57Z</dcterms:created>
  <dcterms:modified xsi:type="dcterms:W3CDTF">2026-03-15T06:07:57Z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