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Required Capstone Component 18.1: Refining Strategies for the BBO Challenge</w:t>
      </w:r>
    </w:p>
    <w:p>
      <w:pPr>
        <w:pStyle w:val="Heading2"/>
      </w:pPr>
      <w:r>
        <w:t>Part 2: Reflection on Hyperparameter Tuning Strategy — Seventh Iteration (16 Data Points)</w:t>
      </w:r>
    </w:p>
    <w:p>
      <w:pPr>
        <w:pStyle w:val="Heading1"/>
      </w:pPr>
      <w:r>
        <w:t>1. Hyperparameters Chosen and Prioritisation</w:t>
      </w:r>
    </w:p>
    <w:p>
      <w:r>
        <w:t>With 16 data points across 8 functions, I prioritised hyperparameters that most directly influence query quality under severe data constraints:</w:t>
      </w:r>
    </w:p>
    <w:p>
      <w:r>
        <w:rPr>
          <w:b/>
        </w:rPr>
        <w:t xml:space="preserve">Surrogate model hyperparameters: </w:t>
      </w:r>
      <w:r>
        <w:t>GP kernel length-scales (smoothness assumptions), noise level α (fitting vs uncertainty balance), and kernel type (Matern vs RBF).</w:t>
      </w:r>
    </w:p>
    <w:p>
      <w:r>
        <w:rPr>
          <w:b/>
        </w:rPr>
        <w:t xml:space="preserve">Acquisition function hyperparameters: </w:t>
      </w:r>
      <w:r>
        <w:t>UCB κ parameter (reduced from κ=2.0 to κ=0.5 as data accumulated) and EI ξ parameter (minimum improvement threshold).</w:t>
      </w:r>
    </w:p>
    <w:p>
      <w:r>
        <w:rPr>
          <w:b/>
        </w:rPr>
        <w:t xml:space="preserve">Neural surrogate hyperparameters: </w:t>
      </w:r>
      <w:r>
        <w:t>Architecture depth (shallow networks to prevent overfitting) and dropout rate (increased for higher-dimensional functions).</w:t>
      </w:r>
    </w:p>
    <w:p>
      <w:r>
        <w:t>I prioritised kernel parameters and acquisition settings because they have the most immediate impact on where the next query lands.</w:t>
      </w:r>
    </w:p>
    <w:p>
      <w:pPr>
        <w:pStyle w:val="Heading1"/>
      </w:pPr>
      <w:r>
        <w:t>2. How Hyperparameter Tuning Changed Query Strategy</w:t>
      </w:r>
    </w:p>
    <w:p>
      <w:r>
        <w:t>Early rounds relied on default settings and broad exploration. By iteration 7, tuning transformed my approach: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Early Rounds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After Tuning</w:t>
            </w:r>
          </w:p>
        </w:tc>
      </w:tr>
      <w:tr>
        <w:tc>
          <w:tcPr>
            <w:tcW w:type="dxa" w:w="4320"/>
          </w:tcPr>
          <w:p>
            <w:r>
              <w:t>Fixed κ=2.0 for all functions</w:t>
            </w:r>
          </w:p>
        </w:tc>
        <w:tc>
          <w:tcPr>
            <w:tcW w:type="dxa" w:w="4320"/>
          </w:tcPr>
          <w:p>
            <w:r>
              <w:t>Function-specific κ based on observed variance</w:t>
            </w:r>
          </w:p>
        </w:tc>
      </w:tr>
      <w:tr>
        <w:tc>
          <w:tcPr>
            <w:tcW w:type="dxa" w:w="4320"/>
          </w:tcPr>
          <w:p>
            <w:r>
              <w:t>Global GP across entire space</w:t>
            </w:r>
          </w:p>
        </w:tc>
        <w:tc>
          <w:tcPr>
            <w:tcW w:type="dxa" w:w="4320"/>
          </w:tcPr>
          <w:p>
            <w:r>
              <w:t>Local trust regions for high-D functions</w:t>
            </w:r>
          </w:p>
        </w:tc>
      </w:tr>
      <w:tr>
        <w:tc>
          <w:tcPr>
            <w:tcW w:type="dxa" w:w="4320"/>
          </w:tcPr>
          <w:p>
            <w:r>
              <w:t>Uniform architecture for all surrogates</w:t>
            </w:r>
          </w:p>
        </w:tc>
        <w:tc>
          <w:tcPr>
            <w:tcW w:type="dxa" w:w="4320"/>
          </w:tcPr>
          <w:p>
            <w:r>
              <w:t>Dimension-adapted complexity</w:t>
            </w:r>
          </w:p>
        </w:tc>
      </w:tr>
    </w:tbl>
    <w:p/>
    <w:p>
      <w:r>
        <w:t>The most significant shift: adaptive κ scheduling. Functions showing consistent improvement received lower κ for exploitation, while volatile functions retained higher κ for exploration coverage.</w:t>
      </w:r>
    </w:p>
    <w:p>
      <w:pPr>
        <w:pStyle w:val="Heading1"/>
      </w:pPr>
      <w:r>
        <w:t>3. Tuning Methods Applied and Trade-offs</w:t>
      </w:r>
    </w:p>
    <w:p>
      <w:r>
        <w:t>Methods used:</w:t>
      </w:r>
    </w:p>
    <w:p>
      <w:pPr>
        <w:pStyle w:val="ListBullet"/>
      </w:pPr>
      <w:r>
        <w:t>Manual adjustment: Primary method for acquisition parameters—fast iteration, interpretable, but relies on intuition</w:t>
      </w:r>
    </w:p>
    <w:p>
      <w:pPr>
        <w:pStyle w:val="ListBullet"/>
      </w:pPr>
      <w:r>
        <w:t>Log-marginal likelihood (LML): Automated kernel hyperparameter selection—principled but assumes GP model is appropriate</w:t>
      </w:r>
    </w:p>
    <w:p>
      <w:pPr>
        <w:pStyle w:val="ListBullet"/>
      </w:pPr>
      <w:r>
        <w:t>Cross-validation: Limited use for neural surrogates due to small sample size—3-fold CV on 16 points yields unstable estimates</w:t>
      </w:r>
    </w:p>
    <w:p>
      <w:r>
        <w:t>I avoided Hyperband and full Bayesian HPO because evaluation budgets were too constrained—these methods assume abundant function evaluations.</w:t>
      </w:r>
    </w:p>
    <w:p>
      <w:pPr>
        <w:pStyle w:val="Heading1"/>
      </w:pPr>
      <w:r>
        <w:t>4. Model Limitations Revealed at 16 Points</w:t>
      </w:r>
    </w:p>
    <w:p>
      <w:r>
        <w:t>As data accumulated, several limitations became evident:</w:t>
      </w:r>
    </w:p>
    <w:p>
      <w:pPr>
        <w:pStyle w:val="ListBullet"/>
      </w:pPr>
      <w:r>
        <w:t>Diminishing returns: Additional queries near known optima yielded marginal gains</w:t>
      </w:r>
    </w:p>
    <w:p>
      <w:pPr>
        <w:pStyle w:val="ListBullet"/>
      </w:pPr>
      <w:r>
        <w:t>Overfitting risk: Neural surrogates with low regularisation produced overconfident predictions</w:t>
      </w:r>
    </w:p>
    <w:p>
      <w:pPr>
        <w:pStyle w:val="ListBullet"/>
      </w:pPr>
      <w:r>
        <w:t>Irrelevant dimensions: Gradient analysis on F8 (8D) revealed dimensions X₄–X₈ contributed minimally</w:t>
      </w:r>
    </w:p>
    <w:p>
      <w:pPr>
        <w:pStyle w:val="ListBullet"/>
      </w:pPr>
      <w:r>
        <w:t>Non-stationarity: F1 and F3 exhibited different behaviours in different regions</w:t>
      </w:r>
    </w:p>
    <w:p>
      <w:pPr>
        <w:pStyle w:val="Heading1"/>
      </w:pPr>
      <w:r>
        <w:t>5. Applying Tuning Techniques to Larger Datasets</w:t>
      </w:r>
    </w:p>
    <w:p>
      <w:r>
        <w:t>For future BBO rounds or complex ML projects, I would scale tuning approaches:</w:t>
      </w:r>
    </w:p>
    <w:p>
      <w:pPr>
        <w:pStyle w:val="ListBullet"/>
      </w:pPr>
      <w:r>
        <w:t>Bayesian HPO for surrogate hyperparameters using HEBO or Optuna</w:t>
      </w:r>
    </w:p>
    <w:p>
      <w:pPr>
        <w:pStyle w:val="ListBullet"/>
      </w:pPr>
      <w:r>
        <w:t>Multi-fidelity evaluation to prune poor configurations before expensive evaluations</w:t>
      </w:r>
    </w:p>
    <w:p>
      <w:pPr>
        <w:pStyle w:val="ListBullet"/>
      </w:pPr>
      <w:r>
        <w:t>Automated feature selection via LASSO or gradient-based importance</w:t>
      </w:r>
    </w:p>
    <w:p>
      <w:pPr>
        <w:pStyle w:val="ListBullet"/>
      </w:pPr>
      <w:r>
        <w:t>Ensemble HPO maintaining diverse configurations across ensemble members</w:t>
      </w:r>
    </w:p>
    <w:p>
      <w:pPr>
        <w:pStyle w:val="ListBullet"/>
      </w:pPr>
      <w:r>
        <w:t>Transfer learning to warm-start hyperparameters from similar functions</w:t>
      </w:r>
    </w:p>
    <w:p>
      <w:pPr>
        <w:pStyle w:val="Heading1"/>
      </w:pPr>
      <w:r>
        <w:t>6. Professional Preparation Through Black-Box Tuning</w:t>
      </w:r>
    </w:p>
    <w:p>
      <w:r>
        <w:t>This black-box setup mirrors real-world ML practice where ground truth is inaccessible, evaluations are expensive, and decisions require justification.</w:t>
      </w:r>
    </w:p>
    <w:p>
      <w:r>
        <w:t>Tuning in this constrained environment builds essential professional habits:</w:t>
      </w:r>
    </w:p>
    <w:p>
      <w:pPr>
        <w:pStyle w:val="ListBullet"/>
      </w:pPr>
      <w:r>
        <w:t>Quantifying uncertainty rather than chasing point estimates</w:t>
      </w:r>
    </w:p>
    <w:p>
      <w:pPr>
        <w:pStyle w:val="ListBullet"/>
      </w:pPr>
      <w:r>
        <w:t>Documenting rationale for hyperparameter choices to enable reproducibility</w:t>
      </w:r>
    </w:p>
    <w:p>
      <w:pPr>
        <w:pStyle w:val="ListBullet"/>
      </w:pPr>
      <w:r>
        <w:t>Balancing exploration and exploitation under budget pressure</w:t>
      </w:r>
    </w:p>
    <w:p>
      <w:pPr>
        <w:pStyle w:val="ListBullet"/>
      </w:pPr>
      <w:r>
        <w:t>Recognising diminishing returns and knowing when to stop tuning</w:t>
      </w:r>
    </w:p>
    <w:p>
      <w:r>
        <w:t>Most importantly, it cultivates adaptive thinking—the recognition that optimal hyperparameters are context-dependent and must evolve as evidence accumulates.</w:t>
      </w:r>
    </w:p>
    <w:p/>
    <w:p>
      <w:r>
        <w:rPr>
          <w:i/>
        </w:rPr>
        <w:t>Word count: 698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