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Required Discussion 17.1: When CNNs Make Sense in Business</w:t>
      </w:r>
    </w:p>
    <w:p>
      <w:pPr>
        <w:pStyle w:val="Heading1"/>
      </w:pPr>
      <w:r>
        <w:t>Industry Challenge: Market Regime Detection for Tactical Asset Allocation</w:t>
      </w:r>
    </w:p>
    <w:p>
      <w:r>
        <w:t>My industry-specific challenge involves predicting market conditions for tactical investment decisions—specifically, determining whether to be risk-on (equities) or risk-off (bonds/cash) based on evolving market signals. This is the Hull Tactical challenge explored in my capstone work.</w:t>
      </w:r>
    </w:p>
    <w:p>
      <w:pPr>
        <w:pStyle w:val="Heading1"/>
      </w:pPr>
      <w:r>
        <w:t>1. Relevant Data</w:t>
      </w:r>
    </w:p>
    <w:p>
      <w:pPr>
        <w:pStyle w:val="Heading2"/>
      </w:pPr>
      <w:r>
        <w:t>What types of data are available?</w:t>
      </w:r>
    </w:p>
    <w:p>
      <w:r>
        <w:t>Traditional market prediction relies on tabular time-series data (prices, returns, volatility). However, several data types can be restructured into grid-like formats suitable for CNNs:</w:t>
      </w:r>
    </w:p>
    <w:p>
      <w:r>
        <w:rPr>
          <w:b/>
        </w:rPr>
        <w:t xml:space="preserve">Correlation matrices (2D grids): </w:t>
      </w:r>
      <w:r>
        <w:t>Rolling correlations between asset classes form symmetric matrices where spatial patterns indicate market regime shifts—tight correlations during stress, decorrelation during calm periods.</w:t>
      </w:r>
    </w:p>
    <w:p>
      <w:r>
        <w:rPr>
          <w:b/>
        </w:rPr>
        <w:t xml:space="preserve">Price-volume heatmaps (2D: assets × time): </w:t>
      </w:r>
      <w:r>
        <w:t>Daily returns across multiple tickers arranged as rows, with time windows as columns, creating "financial images" where CNNs can detect patterns like sector rotations or momentum cascades.</w:t>
      </w:r>
    </w:p>
    <w:p>
      <w:r>
        <w:rPr>
          <w:b/>
        </w:rPr>
        <w:t xml:space="preserve">Technical indicator matrices: </w:t>
      </w:r>
      <w:r>
        <w:t>Multiple indicators (RSI, MACD, Bollinger Bands) computed across various lookback windows create multi-channel grids analogous to RGB image channels.</w:t>
      </w:r>
    </w:p>
    <w:p>
      <w:pPr>
        <w:pStyle w:val="Heading2"/>
      </w:pPr>
      <w:r>
        <w:t>Data quality and preprocessing considerations</w:t>
      </w:r>
    </w:p>
    <w:p>
      <w:pPr>
        <w:pStyle w:val="ListBullet"/>
      </w:pPr>
      <w:r>
        <w:t>Non-stationarity: Financial data distributions shift over time; rolling normalization and temporal train-test splits are essential</w:t>
      </w:r>
    </w:p>
    <w:p>
      <w:pPr>
        <w:pStyle w:val="ListBullet"/>
      </w:pPr>
      <w:r>
        <w:t>Class imbalance: Market crashes are rare but critical; oversampling or focal loss functions may be needed</w:t>
      </w:r>
    </w:p>
    <w:p>
      <w:pPr>
        <w:pStyle w:val="ListBullet"/>
      </w:pPr>
      <w:r>
        <w:t>Noise: Financial data has low signal-to-noise ratio; aggressive augmentation risks learning spurious patterns</w:t>
      </w:r>
    </w:p>
    <w:p>
      <w:pPr>
        <w:pStyle w:val="ListBullet"/>
      </w:pPr>
      <w:r>
        <w:t>Lookback window selection: Grid dimensions depend on the prediction horizon—daily prediction may use 20-60 day lookbacks</w:t>
      </w:r>
    </w:p>
    <w:p>
      <w:pPr>
        <w:pStyle w:val="Heading1"/>
      </w:pPr>
      <w:r>
        <w:t>2. Network Architecture Outline</w:t>
      </w:r>
    </w:p>
    <w:p>
      <w:pPr>
        <w:pStyle w:val="Heading2"/>
      </w:pPr>
      <w:r>
        <w:t>High-Level Design</w:t>
      </w:r>
    </w:p>
    <w:p>
      <w:r>
        <w:t>For correlation matrix or heatmap inputs, a moderate-depth 2D CNN would be appropriate:</w:t>
      </w:r>
    </w:p>
    <w:p>
      <w:r>
        <w:rPr>
          <w:b/>
        </w:rPr>
        <w:t xml:space="preserve">Input layer: </w:t>
      </w:r>
      <w:r>
        <w:t>Normalized correlation matrix (e.g., 50×50 for 50 assets) or price heatmap</w:t>
      </w:r>
    </w:p>
    <w:p>
      <w:r>
        <w:rPr>
          <w:b/>
        </w:rPr>
        <w:t xml:space="preserve">Convolutional blocks (3-4 layers): </w:t>
      </w:r>
      <w:r>
        <w:t>Conv2D with small filters (3×3) to detect local correlation clusters, Batch normalization, ReLU activation, MaxPooling (2×2) to capture broader market patterns</w:t>
      </w:r>
    </w:p>
    <w:p>
      <w:r>
        <w:rPr>
          <w:b/>
        </w:rPr>
        <w:t xml:space="preserve">Regularization: </w:t>
      </w:r>
      <w:r>
        <w:t>Dropout (0.3-0.5) to prevent overfitting on noisy financial data; L2 regularization on dense layers</w:t>
      </w:r>
    </w:p>
    <w:p>
      <w:r>
        <w:rPr>
          <w:b/>
        </w:rPr>
        <w:t xml:space="preserve">Special modules: </w:t>
      </w:r>
      <w:r>
        <w:t>Residual connections to preserve gradient flow; Channel attention (SE blocks) to weight importance of different indicator channels; Global Average Pooling before classification</w:t>
      </w:r>
    </w:p>
    <w:p>
      <w:r>
        <w:rPr>
          <w:b/>
        </w:rPr>
        <w:t xml:space="preserve">Output: </w:t>
      </w:r>
      <w:r>
        <w:t>Binary classification (risk-on/risk-off) with sigmoid, or multi-class regime labels with softmax</w:t>
      </w:r>
    </w:p>
    <w:p>
      <w:pPr>
        <w:pStyle w:val="Heading2"/>
      </w:pPr>
      <w:r>
        <w:t>Transfer Learning</w:t>
      </w:r>
    </w:p>
    <w:p>
      <w:r>
        <w:t>Transfer learning is less straightforward than in computer vision because financial "images" differ from natural images. However: pre-training on longer historical periods then fine-tuning on recent data; pre-training on related tasks (volatility prediction) before transfer to regime classification; using CNN backbones pre-trained on generic pattern recognition.</w:t>
      </w:r>
    </w:p>
    <w:p>
      <w:pPr>
        <w:pStyle w:val="Heading1"/>
      </w:pPr>
      <w:r>
        <w:t>3. Evaluation Strategies</w:t>
      </w:r>
    </w:p>
    <w:p>
      <w:pPr>
        <w:pStyle w:val="Heading2"/>
      </w:pPr>
      <w:r>
        <w:t>Accuracy Metrics</w:t>
      </w:r>
    </w:p>
    <w:p>
      <w:r>
        <w:t>Given class imbalance (crashes are rare), accuracy alone is misleading. Appropriate metrics include:</w:t>
      </w:r>
    </w:p>
    <w:p>
      <w:pPr>
        <w:pStyle w:val="ListBullet"/>
      </w:pPr>
      <w:r>
        <w:t>Precision/Recall: High recall for crash detection is critical—missing a drawdown is costly</w:t>
      </w:r>
    </w:p>
    <w:p>
      <w:pPr>
        <w:pStyle w:val="ListBullet"/>
      </w:pPr>
      <w:r>
        <w:t>F1-score: Balances precision and recall</w:t>
      </w:r>
    </w:p>
    <w:p>
      <w:pPr>
        <w:pStyle w:val="ListBullet"/>
      </w:pPr>
      <w:r>
        <w:t>ROC-AUC / PR-AUC: Evaluates discrimination across thresholds</w:t>
      </w:r>
    </w:p>
    <w:p>
      <w:pPr>
        <w:pStyle w:val="ListBullet"/>
      </w:pPr>
      <w:r>
        <w:t>Confusion matrix: Understand false positive vs false negative tradeoffs</w:t>
      </w:r>
    </w:p>
    <w:p>
      <w:pPr>
        <w:pStyle w:val="Heading2"/>
      </w:pPr>
      <w:r>
        <w:t>Validation Techniques</w:t>
      </w:r>
    </w:p>
    <w:p>
      <w:pPr>
        <w:pStyle w:val="ListBullet"/>
      </w:pPr>
      <w:r>
        <w:t>Walk-forward validation: Train on history, predict forward, roll window—mimics real deployment</w:t>
      </w:r>
    </w:p>
    <w:p>
      <w:pPr>
        <w:pStyle w:val="ListBullet"/>
      </w:pPr>
      <w:r>
        <w:t>Regime-stratified splits: Ensure test sets contain both bull and bear periods</w:t>
      </w:r>
    </w:p>
    <w:p>
      <w:pPr>
        <w:pStyle w:val="ListBullet"/>
      </w:pPr>
      <w:r>
        <w:t>Out-of-sample stress testing: Evaluate on specific historical crises (2008, 2020) excluded from training</w:t>
      </w:r>
    </w:p>
    <w:p>
      <w:pPr>
        <w:pStyle w:val="Heading2"/>
      </w:pPr>
      <w:r>
        <w:t>Visual Inspection and Expert Review</w:t>
      </w:r>
    </w:p>
    <w:p>
      <w:pPr>
        <w:pStyle w:val="ListBullet"/>
      </w:pPr>
      <w:r>
        <w:t>Grad-CAM heatmaps: Visualize which regions of the correlation matrix influenced predictions</w:t>
      </w:r>
    </w:p>
    <w:p>
      <w:pPr>
        <w:pStyle w:val="ListBullet"/>
      </w:pPr>
      <w:r>
        <w:t>Portfolio manager review: Domain experts assess whether highlighted patterns align with known market dynamics</w:t>
      </w:r>
    </w:p>
    <w:p>
      <w:pPr>
        <w:pStyle w:val="ListBullet"/>
      </w:pPr>
      <w:r>
        <w:t>Error analysis: Investigate false negatives—did the model miss signals visible to human analysts?</w:t>
      </w:r>
    </w:p>
    <w:p>
      <w:pPr>
        <w:pStyle w:val="Heading2"/>
      </w:pPr>
      <w:r>
        <w:t>Business KPIs</w:t>
      </w:r>
    </w:p>
    <w:p>
      <w:pPr>
        <w:pStyle w:val="ListBullet"/>
      </w:pPr>
      <w:r>
        <w:t>Risk-adjusted returns: Sharpe ratio, Sortino ratio improvement over buy-and-hold</w:t>
      </w:r>
    </w:p>
    <w:p>
      <w:pPr>
        <w:pStyle w:val="ListBullet"/>
      </w:pPr>
      <w:r>
        <w:t>Maximum drawdown reduction: Did the model help avoid significant losses?</w:t>
      </w:r>
    </w:p>
    <w:p>
      <w:pPr>
        <w:pStyle w:val="ListBullet"/>
      </w:pPr>
      <w:r>
        <w:t>Signal stability: Excessive regime switching incurs transaction costs</w:t>
      </w:r>
    </w:p>
    <w:p>
      <w:pPr>
        <w:pStyle w:val="ListBullet"/>
      </w:pPr>
      <w:r>
        <w:t>Backtested P&amp;L: Simulated returns net of realistic trading costs</w:t>
      </w:r>
    </w:p>
    <w:p>
      <w:pPr>
        <w:pStyle w:val="ListBullet"/>
      </w:pPr>
      <w:r>
        <w:t>Comparison to baseline: Does CNN outperform simpler models (logistic regression, random forest)?</w:t>
      </w:r>
    </w:p>
    <w:p>
      <w:pPr>
        <w:pStyle w:val="Heading1"/>
      </w:pPr>
      <w:r>
        <w:t>Conclusion</w:t>
      </w:r>
    </w:p>
    <w:p>
      <w:r>
        <w:t>CNNs are not the default choice for financial prediction, but they become compelling when data is restructured into spatial representations where local patterns carry meaning. Correlation matrices and multi-indicator heatmaps fit this criterion. Success depends on rigorous temporal validation, domain expert review of learned patterns, and evaluation against business-relevant KPIs rather than pure accuracy.</w:t>
      </w:r>
    </w:p>
    <w:p/>
    <w:p>
      <w:r>
        <w:rPr>
          <w:i/>
        </w:rPr>
        <w:t>Word count: 698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