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a875ab3b3ff3916eab2c6bf7d33cbd24199a1c"/>
    <w:p>
      <w:pPr>
        <w:pStyle w:val="Heading1"/>
      </w:pPr>
      <w:r>
        <w:t xml:space="preserve">Required Capstone Component 22.1: Refining BBO Strategies — Round 11</w:t>
      </w:r>
    </w:p>
    <w:bookmarkStart w:id="20" w:name="part-1-queries-submitted"/>
    <w:p>
      <w:pPr>
        <w:pStyle w:val="Heading2"/>
      </w:pPr>
      <w:r>
        <w:t xml:space="preserve">Part 1: Queries Submitted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(0.152834, 0.341729)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(0.648213, 0.283047)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(0.728491, 0.467038, 0.608217)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(0.574812, 0.748391, 0.427963)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(0.961283, 0.058174, 0.851293, 0.972418)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(0.697234, 0.528471, 0.762841, 0.371893, 0.637524)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(0.213847, 0.492183, 0.678341, 0.147293, 0.831472, 0.392841)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8D</w:t>
            </w:r>
          </w:p>
        </w:tc>
        <w:tc>
          <w:p>
            <w:pPr>
              <w:pStyle w:val="Compact"/>
              <w:jc w:val="left"/>
            </w:pPr>
            <w:r>
              <w:t xml:space="preserve">(0.871492, 0.496738, 0.934821, 0.378413, 0.507829, 0.671384, 0.432817, 0.586941)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part-2-reflection"/>
    <w:p>
      <w:pPr>
        <w:pStyle w:val="Heading2"/>
      </w:pPr>
      <w:r>
        <w:t xml:space="preserve">Part 2: Reflection</w:t>
      </w:r>
    </w:p>
    <w:bookmarkStart w:id="21" w:name="Xae3ef9467ac1656a2ba9e22543945fb935643cf"/>
    <w:p>
      <w:pPr>
        <w:pStyle w:val="Heading3"/>
      </w:pPr>
      <w:r>
        <w:t xml:space="preserve">1. How have patterns in your past queries influenced your latest choices?</w:t>
      </w:r>
    </w:p>
    <w:p>
      <w:pPr>
        <w:pStyle w:val="FirstParagraph"/>
      </w:pPr>
      <w:r>
        <w:t xml:space="preserve">Eleven rounds of queries have produced a layered picture: each function now has a recorded trajectory rather than a scatter of isolated points. Functions F4, F5 and F8 show consistent directional improvement — the running best improves nearly every round — and their Round 11 queries continue the established vector with small, deliberate steps. F1 remains near-zero despite multiple probes in different quadrants; rather than persisting near explored territory, Round 11 tests a new region (0.15, 0.34) that no prior round has sampled, treating the previous cluster of near-zero outputs as a confirmed unproductive zone. F2 and F3 show moderate, gradual improvement; their queries extend the current trajectory by approximately 0.02–0.03 in each productive dimension.</w:t>
      </w:r>
    </w:p>
    <w:p>
      <w:r>
        <w:pict>
          <v:rect style="width:0;height:1.5pt" o:hralign="center" o:hrstd="t" o:hr="t"/>
        </w:pict>
      </w:r>
    </w:p>
    <w:bookmarkEnd w:id="21"/>
    <w:bookmarkStart w:id="22" w:name="X10a3f79077255d927ee725fa598ef568a8a6028"/>
    <w:p>
      <w:pPr>
        <w:pStyle w:val="Heading3"/>
      </w:pPr>
      <w:r>
        <w:t xml:space="preserve">2. Identified clusters or recurring regions in the search space</w:t>
      </w:r>
    </w:p>
    <w:p>
      <w:pPr>
        <w:pStyle w:val="FirstParagraph"/>
      </w:pPr>
      <w:r>
        <w:t xml:space="preserve">Applying a clustering lens to the accumulated query history reveals three natural groupings across all eight functions:</w:t>
      </w:r>
    </w:p>
    <w:p>
      <w:pPr>
        <w:pStyle w:val="BodyText"/>
      </w:pPr>
      <w:r>
        <w:rPr>
          <w:bCs/>
          <w:b/>
        </w:rPr>
        <w:t xml:space="preserve">Converging cluster (F4, F5, F8):</w:t>
      </w:r>
      <w:r>
        <w:t xml:space="preserve"> </w:t>
      </w:r>
      <w:r>
        <w:t xml:space="preserve">Queries have tightened into compact, high-density regions around consistently high outputs. For F5, the cluster centroid lies near (0.96, 0.06, 0.85, 0.97) — a boundary ridge that has produced the highest observed values (~1600+). For F8, X₁ and X₃ act as the dominant axes; the effective cluster is approximately a 2D slice of the full 8D space. These clusters are tight and credible — surrogate uncertainty is low within them.</w:t>
      </w:r>
    </w:p>
    <w:p>
      <w:pPr>
        <w:pStyle w:val="BodyText"/>
      </w:pPr>
      <w:r>
        <w:rPr>
          <w:bCs/>
          <w:b/>
        </w:rPr>
        <w:t xml:space="preserve">Drifting cluster (F2, F3, F6):</w:t>
      </w:r>
      <w:r>
        <w:t xml:space="preserve"> </w:t>
      </w:r>
      <w:r>
        <w:t xml:space="preserve">Queries show directional movement rather than convergence — a slowly translating centroid indicating a broad, gently sloping optimum rather than a sharp peak. The cluster is expanding along the improvement direction, resembling the elongated clusters that single linkage merges readily.</w:t>
      </w:r>
    </w:p>
    <w:p>
      <w:pPr>
        <w:pStyle w:val="BodyText"/>
      </w:pPr>
      <w:r>
        <w:rPr>
          <w:bCs/>
          <w:b/>
        </w:rPr>
        <w:t xml:space="preserve">Unresolved cluster (F1, F7):</w:t>
      </w:r>
      <w:r>
        <w:t xml:space="preserve"> </w:t>
      </w:r>
      <w:r>
        <w:t xml:space="preserve">Outputs are either near-zero or inconsistent across adjacent probes. These do not exhibit any spatial pattern suggesting a local optimum. Round 11 probes an undersampled region for both functions rather than refining a spurious peak.</w:t>
      </w:r>
    </w:p>
    <w:p>
      <w:r>
        <w:pict>
          <v:rect style="width:0;height:1.5pt" o:hralign="center" o:hrstd="t" o:hr="t"/>
        </w:pict>
      </w:r>
    </w:p>
    <w:bookmarkEnd w:id="22"/>
    <w:bookmarkStart w:id="23" w:name="X73a04ff10ac9647bac600d2ddcf4636dc98b5e1"/>
    <w:p>
      <w:pPr>
        <w:pStyle w:val="Heading3"/>
      </w:pPr>
      <w:r>
        <w:t xml:space="preserve">3. Strategies that proved less effective and adjustments made</w:t>
      </w:r>
    </w:p>
    <w:p>
      <w:pPr>
        <w:pStyle w:val="FirstParagraph"/>
      </w:pPr>
      <w:r>
        <w:t xml:space="preserve">Aggressive gradient ascent without trust-region constraints failed for F6 in earlier rounds — the MLP surrogate identified a misleading ridge that collapsed when probed directly. I reverted to GP-guided UCB acquisition with κ=1.5 and ±0.04 perturbation bounds for F6. More broadly, applying uniform trust-region radii across all functions ignored the significant heterogeneity in function sensitivity: F5’s output drops sharply outside its ridge, while F3’s landscape is much flatter. Round 11 uses function-specific radii calibrated to the empirical output sensitivity observed in rounds 7–10.</w:t>
      </w:r>
    </w:p>
    <w:p>
      <w:r>
        <w:pict>
          <v:rect style="width:0;height:1.5pt" o:hralign="center" o:hrstd="t" o:hr="t"/>
        </w:pict>
      </w:r>
    </w:p>
    <w:bookmarkEnd w:id="23"/>
    <w:bookmarkStart w:id="24" w:name="X3791968420718ce23493efdd1314792d473d4c6"/>
    <w:p>
      <w:pPr>
        <w:pStyle w:val="Heading3"/>
      </w:pPr>
      <w:r>
        <w:t xml:space="preserve">4. Parallels to how clustering algorithms separate meaningful patterns from noise</w:t>
      </w:r>
    </w:p>
    <w:p>
      <w:pPr>
        <w:pStyle w:val="FirstParagraph"/>
      </w:pPr>
      <w:r>
        <w:t xml:space="preserve">The trust-region radius functions analogously to a clustering distance threshold: too large and meaningful sub-structure within the high-performance region is smoothed away; too small and the algorithm never consolidates a coherent centroid. The shift from GP exploration (κ=3.0) to GP exploitation (κ=1.5) mirrors the transition from initialising cluster centroids broadly to refining them toward the true cluster mean. Most directly, treating the unresolved functions (F1, F7) as confirmed low-output zones and redirecting query budget away from them mirrors k-means reassigning outlier points to a separate cluster rather than distorting the centroid of a productive cluster to accommodate them.</w:t>
      </w:r>
    </w:p>
    <w:p>
      <w:r>
        <w:pict>
          <v:rect style="width:0;height:1.5pt" o:hralign="center" o:hrstd="t" o:hr="t"/>
        </w:pict>
      </w:r>
    </w:p>
    <w:bookmarkEnd w:id="24"/>
    <w:bookmarkStart w:id="25" w:name="Xdb3dfa001b03f35d38a41971395b06834e7a38c"/>
    <w:p>
      <w:pPr>
        <w:pStyle w:val="Heading3"/>
      </w:pPr>
      <w:r>
        <w:t xml:space="preserve">5. Trends and groupings if results were plotted</w:t>
      </w:r>
    </w:p>
    <w:p>
      <w:pPr>
        <w:pStyle w:val="FirstParagraph"/>
      </w:pPr>
      <w:r>
        <w:t xml:space="preserve">Plotting best-observed output against round number would reveal the three groupings identified above: a steeply rising series for F5 and F8, a gradually rising series for F2–F4 and F6, and a flat near-zero series for F1 and F7. In a 2D projection of query coordinates (first two input dimensions across all functions), the converging-cluster functions would show tightly concentrated late-round points, the drifting-cluster functions would show a visible directional sweep, and the unresolved functions would show scattered points with no spatial coherence. This plot would directly confirm the Round 12 strategy: lock in the converging functions, continue the drift trajectory for the moderate functions, and reassign the unresolved functions’ budget to a final exploratory sweep.</w:t>
      </w:r>
    </w:p>
    <w:p>
      <w:r>
        <w:pict>
          <v:rect style="width:0;height:1.5pt" o:hralign="center" o:hrstd="t" o:hr="t"/>
        </w:pict>
      </w:r>
    </w:p>
    <w:bookmarkEnd w:id="25"/>
    <w:bookmarkStart w:id="26" w:name="references"/>
    <w:p>
      <w:pPr>
        <w:pStyle w:val="Heading3"/>
      </w:pPr>
      <w:r>
        <w:t xml:space="preserve">References</w:t>
      </w:r>
    </w:p>
    <w:p>
      <w:pPr>
        <w:pStyle w:val="FirstParagraph"/>
      </w:pPr>
      <w:r>
        <w:t xml:space="preserve">Shahriari, B., Swersky, K., Wang, Z., Adams, R.P. and de Freitas, N. (2016)</w:t>
      </w:r>
      <w:r>
        <w:t xml:space="preserve"> </w:t>
      </w:r>
      <w:r>
        <w:t xml:space="preserve">‘</w:t>
      </w:r>
      <w:r>
        <w:t xml:space="preserve">Taking the human out of the loop: A review of Bayesian optimization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, 104(1), pp. 148–175.</w:t>
      </w:r>
    </w:p>
    <w:p>
      <w:pPr>
        <w:pStyle w:val="BodyText"/>
      </w:pPr>
      <w:r>
        <w:t xml:space="preserve">Frazier, P.I. (2018)</w:t>
      </w:r>
      <w:r>
        <w:t xml:space="preserve"> </w:t>
      </w:r>
      <w:r>
        <w:rPr>
          <w:iCs/>
          <w:i/>
        </w:rPr>
        <w:t xml:space="preserve">A tutorial on Bayesian optimization</w:t>
      </w:r>
      <w:r>
        <w:t xml:space="preserve">. arXiv:1807.02811.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2026-03-02T05:28:09Z</dcterms:created>
  <dcterms:modified xsi:type="dcterms:W3CDTF">2026-03-02T05:28:09Z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